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C9" w:rsidRDefault="00276AC9" w:rsidP="0043053C">
      <w:pPr>
        <w:tabs>
          <w:tab w:val="left" w:pos="-1440"/>
          <w:tab w:val="left" w:pos="-720"/>
        </w:tabs>
        <w:rPr>
          <w:rFonts w:ascii="Arial" w:hAnsi="Arial" w:cs="Arial"/>
          <w:b/>
          <w:bCs/>
        </w:rPr>
      </w:pPr>
    </w:p>
    <w:p w:rsidR="00276AC9" w:rsidRPr="004403CE" w:rsidRDefault="00276AC9" w:rsidP="0043053C">
      <w:pPr>
        <w:tabs>
          <w:tab w:val="left" w:pos="-1440"/>
          <w:tab w:val="left" w:pos="-720"/>
        </w:tabs>
        <w:rPr>
          <w:rFonts w:ascii="Arial" w:hAnsi="Arial" w:cs="Arial"/>
          <w:b/>
          <w:bCs/>
        </w:rPr>
      </w:pPr>
      <w:r w:rsidRPr="004403CE">
        <w:rPr>
          <w:rFonts w:ascii="Arial" w:hAnsi="Arial" w:cs="Arial"/>
          <w:b/>
          <w:bCs/>
        </w:rPr>
        <w:t xml:space="preserve">Promotionsordnung (Satzung) </w:t>
      </w:r>
    </w:p>
    <w:p w:rsidR="00276AC9" w:rsidRPr="004403CE" w:rsidRDefault="00276AC9" w:rsidP="00943F8B">
      <w:pPr>
        <w:tabs>
          <w:tab w:val="left" w:pos="-1440"/>
          <w:tab w:val="left" w:pos="-720"/>
        </w:tabs>
        <w:spacing w:after="0" w:line="240" w:lineRule="auto"/>
        <w:rPr>
          <w:rFonts w:ascii="Arial" w:hAnsi="Arial" w:cs="Arial"/>
        </w:rPr>
      </w:pPr>
      <w:r w:rsidRPr="004403CE">
        <w:rPr>
          <w:rFonts w:ascii="Arial" w:hAnsi="Arial" w:cs="Arial"/>
        </w:rPr>
        <w:t>der</w:t>
      </w:r>
      <w:r>
        <w:rPr>
          <w:rFonts w:ascii="Arial" w:hAnsi="Arial" w:cs="Arial"/>
        </w:rPr>
        <w:t xml:space="preserve"> </w:t>
      </w:r>
      <w:r w:rsidRPr="004403CE">
        <w:rPr>
          <w:rFonts w:ascii="Arial" w:hAnsi="Arial" w:cs="Arial"/>
        </w:rPr>
        <w:t>Agrar- und Ernährungswissenschaftlichen</w:t>
      </w:r>
      <w:r>
        <w:rPr>
          <w:rFonts w:ascii="Arial" w:hAnsi="Arial" w:cs="Arial"/>
        </w:rPr>
        <w:t xml:space="preserve"> </w:t>
      </w:r>
      <w:r w:rsidRPr="004403CE">
        <w:rPr>
          <w:rFonts w:ascii="Arial" w:hAnsi="Arial" w:cs="Arial"/>
        </w:rPr>
        <w:t>Fakultät</w:t>
      </w:r>
    </w:p>
    <w:p w:rsidR="00276AC9" w:rsidRDefault="00276AC9" w:rsidP="00943F8B">
      <w:pPr>
        <w:tabs>
          <w:tab w:val="left" w:pos="-1440"/>
          <w:tab w:val="left" w:pos="-720"/>
        </w:tabs>
        <w:spacing w:after="0" w:line="240" w:lineRule="auto"/>
        <w:rPr>
          <w:rFonts w:ascii="Arial" w:hAnsi="Arial" w:cs="Arial"/>
        </w:rPr>
      </w:pPr>
      <w:r w:rsidRPr="004403CE">
        <w:rPr>
          <w:rFonts w:ascii="Arial" w:hAnsi="Arial" w:cs="Arial"/>
        </w:rPr>
        <w:t>der</w:t>
      </w:r>
      <w:r>
        <w:rPr>
          <w:rFonts w:ascii="Arial" w:hAnsi="Arial" w:cs="Arial"/>
        </w:rPr>
        <w:t xml:space="preserve"> </w:t>
      </w:r>
      <w:r w:rsidRPr="004403CE">
        <w:rPr>
          <w:rFonts w:ascii="Arial" w:hAnsi="Arial" w:cs="Arial"/>
        </w:rPr>
        <w:t>Christian-Albrechts-Universität zu Kiel</w:t>
      </w:r>
    </w:p>
    <w:p w:rsidR="00276AC9" w:rsidRPr="004403CE" w:rsidRDefault="00276AC9" w:rsidP="00943F8B">
      <w:pPr>
        <w:tabs>
          <w:tab w:val="left" w:pos="-1440"/>
          <w:tab w:val="left" w:pos="-720"/>
        </w:tabs>
        <w:spacing w:after="0" w:line="240" w:lineRule="auto"/>
        <w:rPr>
          <w:rFonts w:ascii="Arial" w:hAnsi="Arial" w:cs="Arial"/>
        </w:rPr>
      </w:pPr>
      <w:r>
        <w:rPr>
          <w:rFonts w:ascii="Arial" w:hAnsi="Arial" w:cs="Arial"/>
        </w:rPr>
        <w:t>Vom  9. Dezember 2011</w:t>
      </w:r>
    </w:p>
    <w:tbl>
      <w:tblPr>
        <w:tblW w:w="10598" w:type="dxa"/>
        <w:tblLook w:val="00A0" w:firstRow="1" w:lastRow="0" w:firstColumn="1" w:lastColumn="0" w:noHBand="0" w:noVBand="0"/>
      </w:tblPr>
      <w:tblGrid>
        <w:gridCol w:w="10598"/>
      </w:tblGrid>
      <w:tr w:rsidR="00943F8B" w:rsidRPr="00095426" w:rsidTr="00943F8B">
        <w:tc>
          <w:tcPr>
            <w:tcW w:w="10598" w:type="dxa"/>
          </w:tcPr>
          <w:p w:rsidR="00D57B0C" w:rsidRDefault="00D57B0C" w:rsidP="00095426">
            <w:pPr>
              <w:autoSpaceDE w:val="0"/>
              <w:autoSpaceDN w:val="0"/>
              <w:adjustRightInd w:val="0"/>
              <w:spacing w:after="0" w:line="240" w:lineRule="auto"/>
              <w:rPr>
                <w:rFonts w:ascii="Arial" w:hAnsi="Arial" w:cs="Arial"/>
                <w:color w:val="000000"/>
              </w:rPr>
            </w:pPr>
          </w:p>
          <w:p w:rsidR="00943F8B" w:rsidRPr="00095426" w:rsidRDefault="00943F8B" w:rsidP="00095426">
            <w:pPr>
              <w:autoSpaceDE w:val="0"/>
              <w:autoSpaceDN w:val="0"/>
              <w:adjustRightInd w:val="0"/>
              <w:spacing w:after="0" w:line="240" w:lineRule="auto"/>
              <w:rPr>
                <w:rFonts w:ascii="Arial" w:hAnsi="Arial" w:cs="Arial"/>
                <w:color w:val="000000"/>
              </w:rPr>
            </w:pPr>
            <w:proofErr w:type="spellStart"/>
            <w:r w:rsidRPr="00095426">
              <w:rPr>
                <w:rFonts w:ascii="Arial" w:hAnsi="Arial" w:cs="Arial"/>
                <w:color w:val="000000"/>
              </w:rPr>
              <w:t>NBl</w:t>
            </w:r>
            <w:proofErr w:type="spellEnd"/>
            <w:r w:rsidRPr="00095426">
              <w:rPr>
                <w:rFonts w:ascii="Arial" w:hAnsi="Arial" w:cs="Arial"/>
                <w:color w:val="000000"/>
              </w:rPr>
              <w:t xml:space="preserve">. MWV. </w:t>
            </w:r>
            <w:proofErr w:type="spellStart"/>
            <w:r w:rsidRPr="00095426">
              <w:rPr>
                <w:rFonts w:ascii="Arial" w:hAnsi="Arial" w:cs="Arial"/>
                <w:color w:val="000000"/>
              </w:rPr>
              <w:t>Schl</w:t>
            </w:r>
            <w:proofErr w:type="spellEnd"/>
            <w:r w:rsidRPr="00095426">
              <w:rPr>
                <w:rFonts w:ascii="Arial" w:hAnsi="Arial" w:cs="Arial"/>
                <w:color w:val="000000"/>
              </w:rPr>
              <w:t xml:space="preserve">.-H. 2011, S. </w:t>
            </w:r>
            <w:r>
              <w:rPr>
                <w:rFonts w:ascii="Arial" w:hAnsi="Arial" w:cs="Arial"/>
                <w:color w:val="000000"/>
              </w:rPr>
              <w:t>54</w:t>
            </w:r>
          </w:p>
          <w:p w:rsidR="00943F8B" w:rsidRPr="00095426" w:rsidRDefault="00943F8B" w:rsidP="00095426">
            <w:pPr>
              <w:autoSpaceDE w:val="0"/>
              <w:autoSpaceDN w:val="0"/>
              <w:adjustRightInd w:val="0"/>
              <w:spacing w:after="0" w:line="240" w:lineRule="auto"/>
              <w:rPr>
                <w:rFonts w:ascii="Arial" w:hAnsi="Arial" w:cs="Arial"/>
                <w:color w:val="000000"/>
              </w:rPr>
            </w:pPr>
            <w:r w:rsidRPr="00095426">
              <w:rPr>
                <w:rFonts w:ascii="Arial" w:hAnsi="Arial" w:cs="Arial"/>
                <w:color w:val="000000"/>
              </w:rPr>
              <w:t xml:space="preserve">Tag der Bekanntmachung auf der Internetseite der CAU:  </w:t>
            </w:r>
            <w:r>
              <w:rPr>
                <w:rFonts w:ascii="Arial" w:hAnsi="Arial" w:cs="Arial"/>
                <w:color w:val="000000"/>
              </w:rPr>
              <w:t>25. 9. 2014</w:t>
            </w:r>
          </w:p>
          <w:p w:rsidR="00943F8B" w:rsidRPr="00095426" w:rsidRDefault="00943F8B" w:rsidP="00095426">
            <w:pPr>
              <w:autoSpaceDE w:val="0"/>
              <w:autoSpaceDN w:val="0"/>
              <w:adjustRightInd w:val="0"/>
              <w:spacing w:after="0" w:line="240" w:lineRule="auto"/>
              <w:rPr>
                <w:rFonts w:ascii="Arial" w:hAnsi="Arial" w:cs="Arial"/>
                <w:color w:val="000000"/>
              </w:rPr>
            </w:pPr>
          </w:p>
          <w:p w:rsidR="00943F8B" w:rsidRPr="00095426" w:rsidRDefault="00943F8B" w:rsidP="00095426">
            <w:pPr>
              <w:autoSpaceDE w:val="0"/>
              <w:autoSpaceDN w:val="0"/>
              <w:adjustRightInd w:val="0"/>
              <w:spacing w:after="0" w:line="240" w:lineRule="auto"/>
              <w:rPr>
                <w:rFonts w:ascii="Arial" w:hAnsi="Arial" w:cs="Arial"/>
                <w:color w:val="000000"/>
              </w:rPr>
            </w:pPr>
          </w:p>
          <w:p w:rsidR="00943F8B" w:rsidRPr="00095426" w:rsidRDefault="00943F8B" w:rsidP="00095426">
            <w:pPr>
              <w:autoSpaceDE w:val="0"/>
              <w:autoSpaceDN w:val="0"/>
              <w:adjustRightInd w:val="0"/>
              <w:spacing w:after="0" w:line="240" w:lineRule="auto"/>
              <w:rPr>
                <w:rFonts w:ascii="Arial" w:hAnsi="Arial" w:cs="Arial"/>
                <w:color w:val="000000"/>
              </w:rPr>
            </w:pPr>
          </w:p>
          <w:p w:rsidR="00943F8B" w:rsidRPr="00095426" w:rsidRDefault="00943F8B" w:rsidP="00095426">
            <w:pPr>
              <w:autoSpaceDE w:val="0"/>
              <w:autoSpaceDN w:val="0"/>
              <w:adjustRightInd w:val="0"/>
              <w:spacing w:after="0" w:line="240" w:lineRule="auto"/>
              <w:rPr>
                <w:rFonts w:ascii="Arial" w:hAnsi="Arial" w:cs="Arial"/>
                <w:color w:val="000000"/>
              </w:rPr>
            </w:pPr>
            <w:r w:rsidRPr="00095426">
              <w:rPr>
                <w:rFonts w:ascii="Arial" w:hAnsi="Arial" w:cs="Arial"/>
                <w:color w:val="000000"/>
              </w:rPr>
              <w:t xml:space="preserve">Aufgrund des § 52 Abs. 1 </w:t>
            </w:r>
            <w:proofErr w:type="spellStart"/>
            <w:r w:rsidRPr="00095426">
              <w:rPr>
                <w:rFonts w:ascii="Arial" w:hAnsi="Arial" w:cs="Arial"/>
                <w:color w:val="000000"/>
              </w:rPr>
              <w:t>i.V.m</w:t>
            </w:r>
            <w:proofErr w:type="spellEnd"/>
            <w:r w:rsidRPr="00095426">
              <w:rPr>
                <w:rFonts w:ascii="Arial" w:hAnsi="Arial" w:cs="Arial"/>
                <w:color w:val="000000"/>
              </w:rPr>
              <w:t>. § 54 Abs. 3 des Hochschulgesetzes (HSG) vom 28. Februar 2007 (</w:t>
            </w:r>
            <w:proofErr w:type="spellStart"/>
            <w:r w:rsidRPr="00095426">
              <w:rPr>
                <w:rFonts w:ascii="Arial" w:hAnsi="Arial" w:cs="Arial"/>
                <w:color w:val="000000"/>
              </w:rPr>
              <w:t>GVOBl</w:t>
            </w:r>
            <w:proofErr w:type="spellEnd"/>
            <w:r w:rsidRPr="00095426">
              <w:rPr>
                <w:rFonts w:ascii="Arial" w:hAnsi="Arial" w:cs="Arial"/>
                <w:color w:val="000000"/>
              </w:rPr>
              <w:t xml:space="preserve">. </w:t>
            </w:r>
            <w:proofErr w:type="spellStart"/>
            <w:r w:rsidRPr="00095426">
              <w:rPr>
                <w:rFonts w:ascii="Arial" w:hAnsi="Arial" w:cs="Arial"/>
                <w:color w:val="000000"/>
              </w:rPr>
              <w:t>Schl</w:t>
            </w:r>
            <w:proofErr w:type="spellEnd"/>
            <w:r w:rsidRPr="00095426">
              <w:rPr>
                <w:rFonts w:ascii="Arial" w:hAnsi="Arial" w:cs="Arial"/>
                <w:color w:val="000000"/>
              </w:rPr>
              <w:t xml:space="preserve">.-H. S. 184), zuletzt geändert durch </w:t>
            </w:r>
            <w:r>
              <w:rPr>
                <w:rFonts w:ascii="Arial" w:hAnsi="Arial" w:cs="Arial"/>
                <w:color w:val="000000"/>
              </w:rPr>
              <w:t xml:space="preserve">Gesetz vom 22. August 2013 </w:t>
            </w:r>
            <w:r w:rsidRPr="00095426">
              <w:rPr>
                <w:rFonts w:ascii="Arial" w:hAnsi="Arial" w:cs="Arial"/>
                <w:color w:val="000000"/>
              </w:rPr>
              <w:t>(</w:t>
            </w:r>
            <w:proofErr w:type="spellStart"/>
            <w:r w:rsidRPr="00095426">
              <w:rPr>
                <w:rFonts w:ascii="Arial" w:hAnsi="Arial" w:cs="Arial"/>
                <w:color w:val="000000"/>
              </w:rPr>
              <w:t>GVOBl</w:t>
            </w:r>
            <w:proofErr w:type="spellEnd"/>
            <w:r w:rsidRPr="00095426">
              <w:rPr>
                <w:rFonts w:ascii="Arial" w:hAnsi="Arial" w:cs="Arial"/>
                <w:color w:val="000000"/>
              </w:rPr>
              <w:t xml:space="preserve">. </w:t>
            </w:r>
            <w:proofErr w:type="spellStart"/>
            <w:r w:rsidRPr="00095426">
              <w:rPr>
                <w:rFonts w:ascii="Arial" w:hAnsi="Arial" w:cs="Arial"/>
                <w:color w:val="000000"/>
              </w:rPr>
              <w:t>Schl</w:t>
            </w:r>
            <w:proofErr w:type="spellEnd"/>
            <w:r w:rsidRPr="00095426">
              <w:rPr>
                <w:rFonts w:ascii="Arial" w:hAnsi="Arial" w:cs="Arial"/>
                <w:color w:val="000000"/>
              </w:rPr>
              <w:t>.-H. S. 3</w:t>
            </w:r>
            <w:r>
              <w:rPr>
                <w:rFonts w:ascii="Arial" w:hAnsi="Arial" w:cs="Arial"/>
                <w:color w:val="000000"/>
              </w:rPr>
              <w:t xml:space="preserve">65), </w:t>
            </w:r>
            <w:r w:rsidRPr="00095426">
              <w:rPr>
                <w:rFonts w:ascii="Arial" w:hAnsi="Arial" w:cs="Arial"/>
                <w:color w:val="000000"/>
              </w:rPr>
              <w:t xml:space="preserve">wird nach Beschlussfassung durch den Konvent der Agrar- und Ernährungswissenschaftlichen Fakultät </w:t>
            </w:r>
            <w:r>
              <w:rPr>
                <w:rFonts w:ascii="Arial" w:hAnsi="Arial" w:cs="Arial"/>
                <w:color w:val="000000"/>
              </w:rPr>
              <w:t>der Christian-Albrechts-Universität zu Kiel vom 22. Januar 2014 die</w:t>
            </w:r>
            <w:r w:rsidRPr="00095426">
              <w:rPr>
                <w:rFonts w:ascii="Arial" w:hAnsi="Arial" w:cs="Arial"/>
                <w:color w:val="000000"/>
              </w:rPr>
              <w:t xml:space="preserve"> folgende Satzung erlassen: </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 1</w:t>
            </w:r>
          </w:p>
          <w:p w:rsidR="00943F8B" w:rsidRPr="00095426" w:rsidRDefault="00943F8B" w:rsidP="00095426">
            <w:pPr>
              <w:pBdr>
                <w:between w:val="single" w:sz="4" w:space="1" w:color="auto"/>
              </w:pBdr>
              <w:tabs>
                <w:tab w:val="left" w:pos="-1440"/>
                <w:tab w:val="left" w:pos="-720"/>
              </w:tabs>
              <w:spacing w:after="0" w:line="240" w:lineRule="auto"/>
              <w:rPr>
                <w:rFonts w:ascii="Arial" w:hAnsi="Arial" w:cs="Arial"/>
                <w:b/>
                <w:bCs/>
              </w:rPr>
            </w:pPr>
            <w:r w:rsidRPr="00095426">
              <w:rPr>
                <w:rFonts w:ascii="Arial" w:hAnsi="Arial" w:cs="Arial"/>
                <w:b/>
                <w:bCs/>
              </w:rPr>
              <w:t>Promotion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 xml:space="preserve">Die Agrar- und Ernährungswissenschaftliche Fakultät verleiht den Grad einer Doktorin oder eines Doktors der Agrarwissenschaften (Dr. sc. </w:t>
            </w:r>
            <w:proofErr w:type="spellStart"/>
            <w:r w:rsidRPr="00095426">
              <w:rPr>
                <w:rFonts w:ascii="Arial" w:hAnsi="Arial" w:cs="Arial"/>
              </w:rPr>
              <w:t>agr</w:t>
            </w:r>
            <w:proofErr w:type="spellEnd"/>
            <w:r w:rsidRPr="00095426">
              <w:rPr>
                <w:rFonts w:ascii="Arial" w:hAnsi="Arial" w:cs="Arial"/>
              </w:rPr>
              <w:t xml:space="preserve">.) oder den Grad einer Doktorin oder eines Doktors der Ökotrophologie (Dr. </w:t>
            </w:r>
            <w:proofErr w:type="spellStart"/>
            <w:r w:rsidRPr="00095426">
              <w:rPr>
                <w:rFonts w:ascii="Arial" w:hAnsi="Arial" w:cs="Arial"/>
              </w:rPr>
              <w:t>oec</w:t>
            </w:r>
            <w:proofErr w:type="spellEnd"/>
            <w:r w:rsidRPr="00095426">
              <w:rPr>
                <w:rFonts w:ascii="Arial" w:hAnsi="Arial" w:cs="Arial"/>
              </w:rPr>
              <w:t xml:space="preserve">. </w:t>
            </w:r>
            <w:proofErr w:type="spellStart"/>
            <w:r w:rsidRPr="00095426">
              <w:rPr>
                <w:rFonts w:ascii="Arial" w:hAnsi="Arial" w:cs="Arial"/>
              </w:rPr>
              <w:t>troph</w:t>
            </w:r>
            <w:proofErr w:type="spellEnd"/>
            <w:r w:rsidRPr="00095426">
              <w:rPr>
                <w:rFonts w:ascii="Arial" w:hAnsi="Arial" w:cs="Arial"/>
              </w:rPr>
              <w:t xml:space="preserve">.) aufgrund einer wissenschaftlichen Abhandlung (Dissertation) und einer mündlichen Prüfung (Disputation). Der vor der Einführung des Dr. </w:t>
            </w:r>
            <w:proofErr w:type="spellStart"/>
            <w:r w:rsidRPr="00095426">
              <w:rPr>
                <w:rFonts w:ascii="Arial" w:hAnsi="Arial" w:cs="Arial"/>
              </w:rPr>
              <w:t>oec</w:t>
            </w:r>
            <w:proofErr w:type="spellEnd"/>
            <w:r w:rsidRPr="00095426">
              <w:rPr>
                <w:rFonts w:ascii="Arial" w:hAnsi="Arial" w:cs="Arial"/>
              </w:rPr>
              <w:t xml:space="preserve">. </w:t>
            </w:r>
            <w:proofErr w:type="spellStart"/>
            <w:r w:rsidRPr="00095426">
              <w:rPr>
                <w:rFonts w:ascii="Arial" w:hAnsi="Arial" w:cs="Arial"/>
              </w:rPr>
              <w:t>troph</w:t>
            </w:r>
            <w:proofErr w:type="spellEnd"/>
            <w:r w:rsidRPr="00095426">
              <w:rPr>
                <w:rFonts w:ascii="Arial" w:hAnsi="Arial" w:cs="Arial"/>
              </w:rPr>
              <w:t>. erworbene Grad des Dr. sc. </w:t>
            </w:r>
            <w:proofErr w:type="spellStart"/>
            <w:r w:rsidRPr="00095426">
              <w:rPr>
                <w:rFonts w:ascii="Arial" w:hAnsi="Arial" w:cs="Arial"/>
              </w:rPr>
              <w:t>agr</w:t>
            </w:r>
            <w:proofErr w:type="spellEnd"/>
            <w:r w:rsidRPr="00095426">
              <w:rPr>
                <w:rFonts w:ascii="Arial" w:hAnsi="Arial" w:cs="Arial"/>
              </w:rPr>
              <w:t xml:space="preserve">. kann auf Antrag in den Titel Dr. </w:t>
            </w:r>
            <w:proofErr w:type="spellStart"/>
            <w:r w:rsidRPr="00095426">
              <w:rPr>
                <w:rFonts w:ascii="Arial" w:hAnsi="Arial" w:cs="Arial"/>
              </w:rPr>
              <w:t>oec</w:t>
            </w:r>
            <w:proofErr w:type="spellEnd"/>
            <w:r w:rsidRPr="00095426">
              <w:rPr>
                <w:rFonts w:ascii="Arial" w:hAnsi="Arial" w:cs="Arial"/>
              </w:rPr>
              <w:t xml:space="preserve">. </w:t>
            </w:r>
            <w:proofErr w:type="spellStart"/>
            <w:r w:rsidRPr="00095426">
              <w:rPr>
                <w:rFonts w:ascii="Arial" w:hAnsi="Arial" w:cs="Arial"/>
              </w:rPr>
              <w:t>troph</w:t>
            </w:r>
            <w:proofErr w:type="spellEnd"/>
            <w:r w:rsidRPr="00095426">
              <w:rPr>
                <w:rFonts w:ascii="Arial" w:hAnsi="Arial" w:cs="Arial"/>
              </w:rPr>
              <w:t>. umgewandelt werden.</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 2</w:t>
            </w: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Dissertation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Die Dissertation muss eine wissenschaftlich beachtliche Leistung sein; sie muss einen Fortschritt in der wissenschaftlichen Erkenntnis darstellen und die Fähigkeit der Bewerberin oder des Bewerbers bezeugen, selbständig wissenschaftlich zu arbeiten.</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 3</w:t>
            </w: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b/>
                <w:bCs/>
              </w:rPr>
              <w:t>Disputation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In der Disputation hat die Bewerberin oder der Bewerber nachzuweisen, dass sie oder er über gründliche wissenschaftliche Kenntnisse in den Fachgebieten</w:t>
            </w:r>
            <w:r w:rsidRPr="00095426">
              <w:rPr>
                <w:rFonts w:ascii="Arial" w:hAnsi="Arial" w:cs="Arial"/>
                <w:color w:val="0000FF"/>
              </w:rPr>
              <w:t xml:space="preserve"> </w:t>
            </w:r>
            <w:r w:rsidRPr="00095426">
              <w:rPr>
                <w:rFonts w:ascii="Arial" w:hAnsi="Arial" w:cs="Arial"/>
              </w:rPr>
              <w:t>der Agrarwissenschaften bzw. der Ökotrophologie nach der Anlage dieser Promotionsordnung verfügt.</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br w:type="page"/>
              <w:t>§ 4</w:t>
            </w: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Voraussetzungen für die Zulassung zur Promotion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strike/>
              </w:rPr>
            </w:pPr>
            <w:r w:rsidRPr="00095426">
              <w:rPr>
                <w:rFonts w:ascii="Arial" w:hAnsi="Arial" w:cs="Arial"/>
              </w:rPr>
              <w:t xml:space="preserve">(1) Die Zulassung zur Promotion setzt den Nachweis der Note "Gut" (bis 2,5) in einem Diplom- oder </w:t>
            </w:r>
            <w:proofErr w:type="spellStart"/>
            <w:r w:rsidRPr="00095426">
              <w:rPr>
                <w:rFonts w:ascii="Arial" w:hAnsi="Arial" w:cs="Arial"/>
              </w:rPr>
              <w:t>M.Sc</w:t>
            </w:r>
            <w:proofErr w:type="spellEnd"/>
            <w:r w:rsidRPr="00095426">
              <w:rPr>
                <w:rFonts w:ascii="Arial" w:hAnsi="Arial" w:cs="Arial"/>
              </w:rPr>
              <w:t xml:space="preserve">.-Zeugnis einer Agrar- und/oder Ernährungswissenschaftlichen Fakultät einer deutschen oder anerkannten ausländischen Universität voraus. Anstelle dieser Abschlüsse kann der Fakultätskonvent eine oder einen mit mindestens "gut" bestandene Doktor-Prüfung, Diplomprüfung, Masterabschluss oder Staatsprüfung einer anderen wissenschaftlichen Disziplin anerkennen, die an einer anerkannten wissenschaftlichen Hochschule abgelegt wurde. </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(2) Abweichend von Absatz 1 kann der Fakultätskonvent Bewerberinnen oder Bewerber mit einem Abschluss</w:t>
            </w:r>
            <w:r w:rsidRPr="00095426">
              <w:rPr>
                <w:rFonts w:ascii="Arial" w:hAnsi="Arial" w:cs="Arial"/>
                <w:color w:val="FF0000"/>
              </w:rPr>
              <w:t xml:space="preserve"> </w:t>
            </w:r>
            <w:r w:rsidRPr="00095426">
              <w:rPr>
                <w:rFonts w:ascii="Arial" w:hAnsi="Arial" w:cs="Arial"/>
              </w:rPr>
              <w:t>eines wissenschaftlichen Studiums als Doktorandinnen oder Doktoranden zulassen, wenn sie zu den 25% Besten ihres Jahrganges gehören.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Default="00943F8B" w:rsidP="00095426">
            <w:pPr>
              <w:tabs>
                <w:tab w:val="left" w:pos="-1440"/>
                <w:tab w:val="left" w:pos="-720"/>
              </w:tabs>
              <w:spacing w:after="0" w:line="240" w:lineRule="auto"/>
              <w:rPr>
                <w:rFonts w:ascii="Arial" w:hAnsi="Arial" w:cs="Arial"/>
              </w:rPr>
            </w:pPr>
            <w:r w:rsidRPr="00095426">
              <w:rPr>
                <w:rFonts w:ascii="Arial" w:hAnsi="Arial" w:cs="Arial"/>
              </w:rPr>
              <w:t xml:space="preserve">(3) </w:t>
            </w:r>
            <w:r w:rsidRPr="007A564F">
              <w:rPr>
                <w:rFonts w:ascii="Arial" w:hAnsi="Arial" w:cs="Arial"/>
              </w:rPr>
              <w:t xml:space="preserve">Für die Zulassung zur Promotion ist eine unterschriebene Betreuungsvereinbarung (siehe Anlage </w:t>
            </w:r>
            <w:r>
              <w:rPr>
                <w:rFonts w:ascii="Arial" w:hAnsi="Arial" w:cs="Arial"/>
              </w:rPr>
              <w:t>2</w:t>
            </w:r>
            <w:r w:rsidRPr="007A564F">
              <w:rPr>
                <w:rFonts w:ascii="Arial" w:hAnsi="Arial" w:cs="Arial"/>
              </w:rPr>
              <w:t>) vorzulegen.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(4) Die Betreuung als Doktorandin oder Doktorand durch ein hierzu berechtigtes Mitglied der Fakultät begründet keinen Anspruch auf Zulassung zur Promotion.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spacing w:after="0" w:line="240" w:lineRule="auto"/>
              <w:rPr>
                <w:rFonts w:ascii="Arial" w:hAnsi="Arial" w:cs="Arial"/>
              </w:rPr>
            </w:pPr>
            <w:r w:rsidRPr="00095426">
              <w:rPr>
                <w:rFonts w:ascii="Arial" w:hAnsi="Arial" w:cs="Arial"/>
              </w:rPr>
              <w:t xml:space="preserve">(5) Absolventinnen oder Absolventen von Fachhochschulen können vom Fakultätskonvent zur Promotion zugelassen werden, wenn sie die Diplomprüfung oder den </w:t>
            </w:r>
            <w:proofErr w:type="spellStart"/>
            <w:r w:rsidRPr="00095426">
              <w:rPr>
                <w:rFonts w:ascii="Arial" w:hAnsi="Arial" w:cs="Arial"/>
              </w:rPr>
              <w:t>M.Sc</w:t>
            </w:r>
            <w:proofErr w:type="spellEnd"/>
            <w:r w:rsidRPr="00095426">
              <w:rPr>
                <w:rFonts w:ascii="Arial" w:hAnsi="Arial" w:cs="Arial"/>
              </w:rPr>
              <w:t xml:space="preserve">.-Abschluss in einem im Hinblick auf das Promotionsfach einschlägigen Studiengang mindestens mit der Gesamtnote „sehr gut“ (bis 1,5) bestanden </w:t>
            </w:r>
            <w:r w:rsidRPr="00B25F67">
              <w:rPr>
                <w:rFonts w:ascii="Arial" w:hAnsi="Arial" w:cs="Arial"/>
              </w:rPr>
              <w:lastRenderedPageBreak/>
              <w:t xml:space="preserve">haben </w:t>
            </w:r>
            <w:r w:rsidRPr="007A564F">
              <w:rPr>
                <w:rFonts w:ascii="Arial" w:hAnsi="Arial" w:cs="Arial"/>
              </w:rPr>
              <w:t xml:space="preserve">oder die Voraussetzungen für die fast </w:t>
            </w:r>
            <w:proofErr w:type="spellStart"/>
            <w:r w:rsidRPr="007A564F">
              <w:rPr>
                <w:rFonts w:ascii="Arial" w:hAnsi="Arial" w:cs="Arial"/>
              </w:rPr>
              <w:t>track</w:t>
            </w:r>
            <w:proofErr w:type="spellEnd"/>
            <w:r w:rsidRPr="007A564F">
              <w:rPr>
                <w:rFonts w:ascii="Arial" w:hAnsi="Arial" w:cs="Arial"/>
              </w:rPr>
              <w:t xml:space="preserve"> Promotion erfüllen (siehe §4 Abs. 6) </w:t>
            </w:r>
            <w:r w:rsidRPr="00095426">
              <w:rPr>
                <w:rFonts w:ascii="Arial" w:hAnsi="Arial" w:cs="Arial"/>
              </w:rPr>
              <w:t xml:space="preserve">und die gleiche Befähigung zum wissenschaftlichen Arbeiten, wie sie für den Abschluss von Studiengängen an wissenschaftlichen Hochschulen verlangt wird, in einer Eignungsprüfung gemäß § 5 Abs. 2 Nr. 3 nachweisen. </w:t>
            </w:r>
          </w:p>
          <w:p w:rsidR="00943F8B" w:rsidRPr="00B25F67" w:rsidRDefault="00943F8B" w:rsidP="00095426">
            <w:pPr>
              <w:tabs>
                <w:tab w:val="left" w:pos="-1440"/>
                <w:tab w:val="left" w:pos="-720"/>
              </w:tabs>
              <w:spacing w:after="0" w:line="240" w:lineRule="auto"/>
              <w:rPr>
                <w:rFonts w:ascii="Arial" w:hAnsi="Arial" w:cs="Arial"/>
                <w:sz w:val="12"/>
                <w:szCs w:val="12"/>
              </w:rPr>
            </w:pPr>
          </w:p>
          <w:p w:rsidR="00943F8B" w:rsidRPr="007A564F" w:rsidRDefault="00943F8B" w:rsidP="007A564F">
            <w:pPr>
              <w:tabs>
                <w:tab w:val="left" w:pos="-1440"/>
                <w:tab w:val="left" w:pos="-720"/>
              </w:tabs>
              <w:spacing w:after="0" w:line="240" w:lineRule="auto"/>
              <w:rPr>
                <w:rFonts w:ascii="Arial" w:hAnsi="Arial" w:cs="Arial"/>
              </w:rPr>
            </w:pPr>
            <w:r w:rsidRPr="007A564F">
              <w:rPr>
                <w:rFonts w:ascii="Arial" w:hAnsi="Arial" w:cs="Arial"/>
              </w:rPr>
              <w:t xml:space="preserve">6) Besonders begabte Absolventinnen und Absolventen mit Universitätsabschluss oder Fachhochschulabschluss Bachelor können in Ausnahmefällen zu einer fast </w:t>
            </w:r>
            <w:proofErr w:type="spellStart"/>
            <w:r w:rsidRPr="007A564F">
              <w:rPr>
                <w:rFonts w:ascii="Arial" w:hAnsi="Arial" w:cs="Arial"/>
              </w:rPr>
              <w:t>track</w:t>
            </w:r>
            <w:proofErr w:type="spellEnd"/>
            <w:r w:rsidRPr="007A564F">
              <w:rPr>
                <w:rFonts w:ascii="Arial" w:hAnsi="Arial" w:cs="Arial"/>
              </w:rPr>
              <w:t xml:space="preserve"> Promotion zugelassen werden.  Voraussetzung ist eine Durchschnittsnote von mindestens 1,3 (Universität) oder 1,0 (Fachhochschule). </w:t>
            </w:r>
          </w:p>
          <w:p w:rsidR="00943F8B" w:rsidRPr="00B25F67" w:rsidRDefault="00943F8B" w:rsidP="007A564F">
            <w:pPr>
              <w:tabs>
                <w:tab w:val="left" w:pos="-1440"/>
                <w:tab w:val="left" w:pos="-720"/>
              </w:tabs>
              <w:spacing w:after="0" w:line="240" w:lineRule="auto"/>
              <w:rPr>
                <w:rFonts w:ascii="Arial" w:hAnsi="Arial" w:cs="Arial"/>
                <w:sz w:val="12"/>
                <w:szCs w:val="12"/>
              </w:rPr>
            </w:pPr>
          </w:p>
          <w:p w:rsidR="00943F8B" w:rsidRPr="00095426" w:rsidRDefault="00943F8B" w:rsidP="007A564F">
            <w:pPr>
              <w:tabs>
                <w:tab w:val="left" w:pos="-1440"/>
                <w:tab w:val="left" w:pos="-720"/>
              </w:tabs>
              <w:spacing w:after="0" w:line="240" w:lineRule="auto"/>
              <w:rPr>
                <w:rFonts w:ascii="Arial" w:hAnsi="Arial" w:cs="Arial"/>
              </w:rPr>
            </w:pPr>
            <w:r w:rsidRPr="007A564F">
              <w:rPr>
                <w:rFonts w:ascii="Arial" w:hAnsi="Arial" w:cs="Arial"/>
              </w:rPr>
              <w:t xml:space="preserve"> (7) Der Doktorand oder die Doktorandin legt eine Erklärung vor, dass sie oder er nicht bereits erfolglos eine Dissertation im selben oder einem verwandten Fachgebiet eingereicht hat. Wurde bereits erfolglos eine Dissertation in einem anderen Fachgebiet eingereicht, so ist dies unter Angabe des Fachs, der Universität und der Fakultät zur Kenntnis zu bringen, bei der die Annahme als Doktorand oder als Doktorandin beantragt wurde. Auf Grundlage von beidem entscheidet der Konvent über die Annahme und bestätigt dies schriftlich.</w:t>
            </w:r>
          </w:p>
          <w:p w:rsidR="00943F8B" w:rsidRPr="00B25F67"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7A564F">
              <w:rPr>
                <w:rFonts w:ascii="Arial" w:hAnsi="Arial" w:cs="Arial"/>
              </w:rPr>
              <w:t xml:space="preserve">(8) Die Fakultät stellt ggf. fest, ob es sich um eine </w:t>
            </w:r>
            <w:proofErr w:type="spellStart"/>
            <w:r w:rsidRPr="007A564F">
              <w:rPr>
                <w:rFonts w:ascii="Arial" w:hAnsi="Arial" w:cs="Arial"/>
              </w:rPr>
              <w:t>interfakultär</w:t>
            </w:r>
            <w:proofErr w:type="spellEnd"/>
            <w:r w:rsidRPr="007A564F">
              <w:rPr>
                <w:rFonts w:ascii="Arial" w:hAnsi="Arial" w:cs="Arial"/>
              </w:rPr>
              <w:t xml:space="preserve"> angelegte Dissertation handelt, und erklärt in der Annahmebestätigung ihr Einverständnis, das Promotionsvorhaben zuzulassen bzw. rechtzeitig vor Zulassung zum Promotionsprüfungsverfahren ihre Zuständigkeit abschließend zu prüfen und verbindlich über die Zulassung zu entscheiden.</w:t>
            </w:r>
          </w:p>
          <w:p w:rsidR="00943F8B" w:rsidRPr="00095426" w:rsidRDefault="00943F8B" w:rsidP="00095426">
            <w:pPr>
              <w:tabs>
                <w:tab w:val="left" w:pos="-1440"/>
                <w:tab w:val="left" w:pos="-720"/>
              </w:tabs>
              <w:spacing w:after="0" w:line="240" w:lineRule="auto"/>
              <w:rPr>
                <w:rFonts w:ascii="Arial" w:hAnsi="Arial" w:cs="Arial"/>
              </w:rPr>
            </w:pPr>
          </w:p>
          <w:p w:rsidR="00943F8B" w:rsidRPr="00B25F67" w:rsidRDefault="00B25F67" w:rsidP="00095426">
            <w:pPr>
              <w:tabs>
                <w:tab w:val="left" w:pos="-1440"/>
                <w:tab w:val="left" w:pos="-720"/>
              </w:tabs>
              <w:spacing w:after="0" w:line="240" w:lineRule="auto"/>
              <w:rPr>
                <w:rFonts w:ascii="Arial" w:hAnsi="Arial" w:cs="Arial"/>
                <w:b/>
              </w:rPr>
            </w:pPr>
            <w:r w:rsidRPr="00B25F67">
              <w:rPr>
                <w:rFonts w:ascii="Arial" w:hAnsi="Arial" w:cs="Arial"/>
                <w:b/>
              </w:rPr>
              <w:t>§ 5</w:t>
            </w:r>
          </w:p>
          <w:p w:rsidR="00943F8B" w:rsidRPr="00095426" w:rsidRDefault="00B25F67" w:rsidP="00095426">
            <w:pPr>
              <w:tabs>
                <w:tab w:val="left" w:pos="-1440"/>
                <w:tab w:val="left" w:pos="-720"/>
              </w:tabs>
              <w:spacing w:after="0" w:line="240" w:lineRule="auto"/>
              <w:rPr>
                <w:rFonts w:ascii="Arial" w:hAnsi="Arial" w:cs="Arial"/>
                <w:b/>
                <w:bCs/>
              </w:rPr>
            </w:pPr>
            <w:r>
              <w:rPr>
                <w:rFonts w:ascii="Arial" w:hAnsi="Arial" w:cs="Arial"/>
                <w:b/>
                <w:bCs/>
              </w:rPr>
              <w:t>A</w:t>
            </w:r>
            <w:r w:rsidR="00943F8B" w:rsidRPr="00095426">
              <w:rPr>
                <w:rFonts w:ascii="Arial" w:hAnsi="Arial" w:cs="Arial"/>
                <w:b/>
                <w:bCs/>
              </w:rPr>
              <w:t>nnahme von Doktorandinnen und Doktoranden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(1) Auf Antrag kann eine Person, die eine Doktorarbeit anfertigt, von der Fakultät als Doktorand oder Doktorandin</w:t>
            </w:r>
            <w:r>
              <w:rPr>
                <w:rFonts w:ascii="Arial" w:hAnsi="Arial" w:cs="Arial"/>
              </w:rPr>
              <w:t xml:space="preserve"> angenommen werden. Der Antrag soll</w:t>
            </w:r>
            <w:r w:rsidRPr="00095426">
              <w:rPr>
                <w:rFonts w:ascii="Arial" w:hAnsi="Arial" w:cs="Arial"/>
              </w:rPr>
              <w:t xml:space="preserve"> vor Aufnahme der Arbeit </w:t>
            </w:r>
            <w:r>
              <w:rPr>
                <w:rFonts w:ascii="Arial" w:hAnsi="Arial" w:cs="Arial"/>
              </w:rPr>
              <w:t>ge</w:t>
            </w:r>
            <w:r w:rsidRPr="00095426">
              <w:rPr>
                <w:rFonts w:ascii="Arial" w:hAnsi="Arial" w:cs="Arial"/>
              </w:rPr>
              <w:t>stell</w:t>
            </w:r>
            <w:r>
              <w:rPr>
                <w:rFonts w:ascii="Arial" w:hAnsi="Arial" w:cs="Arial"/>
              </w:rPr>
              <w:t>t werd</w:t>
            </w:r>
            <w:r w:rsidRPr="00095426">
              <w:rPr>
                <w:rFonts w:ascii="Arial" w:hAnsi="Arial" w:cs="Arial"/>
              </w:rPr>
              <w:t>en.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 xml:space="preserve">(2) Die Annahme setzt voraus, </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numPr>
                <w:ilvl w:val="0"/>
                <w:numId w:val="1"/>
              </w:numPr>
              <w:tabs>
                <w:tab w:val="left" w:pos="-1440"/>
                <w:tab w:val="left" w:pos="-720"/>
              </w:tabs>
              <w:spacing w:after="0" w:line="240" w:lineRule="auto"/>
              <w:rPr>
                <w:rFonts w:ascii="Arial" w:hAnsi="Arial" w:cs="Arial"/>
              </w:rPr>
            </w:pPr>
            <w:r w:rsidRPr="00095426">
              <w:rPr>
                <w:rFonts w:ascii="Arial" w:hAnsi="Arial" w:cs="Arial"/>
              </w:rPr>
              <w:t>dass die fachliche Beurteilung im Rahmen der Agrar- und Ernährungswissenschaftlichen Fakultät möglich ist; davon ist insbesondere auszugehen, wenn ein zur Betreuung berechtigtes Mitglied der Fakultät oder eines Kooperationspartners dazu bereit ist und</w:t>
            </w:r>
          </w:p>
          <w:p w:rsidR="00943F8B" w:rsidRPr="00095426" w:rsidRDefault="00943F8B" w:rsidP="00095426">
            <w:pPr>
              <w:numPr>
                <w:ilvl w:val="0"/>
                <w:numId w:val="1"/>
              </w:numPr>
              <w:tabs>
                <w:tab w:val="left" w:pos="-1440"/>
                <w:tab w:val="left" w:pos="-720"/>
              </w:tabs>
              <w:spacing w:after="0" w:line="240" w:lineRule="auto"/>
              <w:rPr>
                <w:rFonts w:ascii="Arial" w:hAnsi="Arial" w:cs="Arial"/>
              </w:rPr>
            </w:pPr>
            <w:r w:rsidRPr="00095426">
              <w:rPr>
                <w:rFonts w:ascii="Arial" w:hAnsi="Arial" w:cs="Arial"/>
              </w:rPr>
              <w:t>die Kandidatin oder der Kandidat die Voraussetzungen des § 4 Abs</w:t>
            </w:r>
            <w:r w:rsidRPr="007A564F">
              <w:rPr>
                <w:rFonts w:ascii="Arial" w:hAnsi="Arial" w:cs="Arial"/>
              </w:rPr>
              <w:t xml:space="preserve">. 1, 2 oder 6 </w:t>
            </w:r>
            <w:r w:rsidRPr="00095426">
              <w:rPr>
                <w:rFonts w:ascii="Arial" w:hAnsi="Arial" w:cs="Arial"/>
              </w:rPr>
              <w:t>erfüllt hat oder</w:t>
            </w:r>
          </w:p>
          <w:p w:rsidR="00943F8B" w:rsidRPr="00095426" w:rsidRDefault="00943F8B" w:rsidP="00095426">
            <w:pPr>
              <w:numPr>
                <w:ilvl w:val="0"/>
                <w:numId w:val="1"/>
              </w:numPr>
              <w:tabs>
                <w:tab w:val="left" w:pos="-1440"/>
                <w:tab w:val="left" w:pos="-720"/>
              </w:tabs>
              <w:spacing w:after="0" w:line="240" w:lineRule="auto"/>
              <w:rPr>
                <w:rFonts w:ascii="Arial" w:hAnsi="Arial" w:cs="Arial"/>
              </w:rPr>
            </w:pPr>
            <w:r w:rsidRPr="00095426">
              <w:rPr>
                <w:rFonts w:ascii="Arial" w:hAnsi="Arial" w:cs="Arial"/>
              </w:rPr>
              <w:t xml:space="preserve">bei Absolventinnen oder Absolventen von Fachhochschulen die Kandidatin oder der Kandidat die Voraussetzungen des § 4 Abs. 5 </w:t>
            </w:r>
            <w:r>
              <w:rPr>
                <w:rFonts w:ascii="Arial" w:hAnsi="Arial" w:cs="Arial"/>
              </w:rPr>
              <w:t>oder 6</w:t>
            </w:r>
            <w:r w:rsidRPr="00095426">
              <w:rPr>
                <w:rFonts w:ascii="Arial" w:hAnsi="Arial" w:cs="Arial"/>
              </w:rPr>
              <w:t xml:space="preserve"> erfüllt hat. Die Eignungsprüfung besteht aus einer Erörterung des schriftlichen Konzeptes der Bewerberin oder des Bewerbers für das Promotionsvorhaben mit mindestens drei von der Dekanin oder vom Dekan bestellten hauptamtlichen Professorinnen oder Professoren der Fakultät. Die Empfehlung zur Zulassung zur Promotion kann von der erfolgreichen Teilnahme an einzelnen Lehrveranstaltungen abhängig gemacht werden. Das Ergebnis dieser Eignungsprüfung ist der Kandidatin oder dem Kandidaten schriftlich mitzuteilen. </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(3) Über die Annahme von Absolventinnen und Absolventen der eigenen Fakultät entscheidet die Dekanin oder der Dekan, über die Annahme anderer Absolventinnen und Absolventen entscheidet der Fakultätskonvent.</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 xml:space="preserve">(4) Mit der Annahme ist die Feststellung verbunden, dass die Voraussetzungen des § 4 zum Zeitpunkt der </w:t>
            </w:r>
            <w:r>
              <w:rPr>
                <w:rFonts w:ascii="Arial" w:hAnsi="Arial" w:cs="Arial"/>
              </w:rPr>
              <w:t>Annahmeerklärung</w:t>
            </w:r>
            <w:r w:rsidRPr="00095426">
              <w:rPr>
                <w:rFonts w:ascii="Arial" w:hAnsi="Arial" w:cs="Arial"/>
              </w:rPr>
              <w:t xml:space="preserve"> vorliegen; im Übrigen besteht kein Anspruch auf Zulassung zum Promotionsprüfungsverfahren.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Default="00943F8B" w:rsidP="00095426">
            <w:pPr>
              <w:tabs>
                <w:tab w:val="left" w:pos="-1440"/>
                <w:tab w:val="left" w:pos="-720"/>
              </w:tabs>
              <w:spacing w:after="0" w:line="240" w:lineRule="auto"/>
              <w:rPr>
                <w:rFonts w:ascii="Arial" w:hAnsi="Arial" w:cs="Arial"/>
              </w:rPr>
            </w:pPr>
            <w:r w:rsidRPr="00095426">
              <w:rPr>
                <w:rFonts w:ascii="Arial" w:hAnsi="Arial" w:cs="Arial"/>
              </w:rPr>
              <w:t>(5) Die Annahme kann durch schriftliche Erklärung der Dekanin oder des Dekans widerrufen werden, wenn die Betreuerin oder der Betreuer oder die für die fachliche Begutachtung in der Fakultät gemäß § 6</w:t>
            </w:r>
            <w:r w:rsidRPr="00095426">
              <w:rPr>
                <w:rFonts w:ascii="Arial" w:hAnsi="Arial" w:cs="Arial"/>
                <w:color w:val="FF0000"/>
              </w:rPr>
              <w:t xml:space="preserve"> </w:t>
            </w:r>
            <w:r w:rsidRPr="00095426">
              <w:rPr>
                <w:rFonts w:ascii="Arial" w:hAnsi="Arial" w:cs="Arial"/>
              </w:rPr>
              <w:t xml:space="preserve">Abs. 1 und 2 Betreuungsberechtigten schriftlich erklären, dass </w:t>
            </w:r>
            <w:r w:rsidRPr="007A564F">
              <w:rPr>
                <w:rFonts w:ascii="Arial" w:hAnsi="Arial" w:cs="Arial"/>
              </w:rPr>
              <w:t xml:space="preserve">sie den Betreuungsvertrag auflösen. Eine einseitige Auflösung durch die Betreuungsberechtigten ist nur in begründeten Fällen zulässig. </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 6</w:t>
            </w: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Betreuung von Doktorandinnen und Doktoranden</w:t>
            </w:r>
          </w:p>
          <w:p w:rsidR="00943F8B" w:rsidRPr="00095426" w:rsidRDefault="00943F8B" w:rsidP="00095426">
            <w:pPr>
              <w:tabs>
                <w:tab w:val="left" w:pos="-1440"/>
                <w:tab w:val="left" w:pos="-720"/>
              </w:tabs>
              <w:spacing w:after="0" w:line="240" w:lineRule="auto"/>
              <w:rPr>
                <w:rFonts w:ascii="Arial" w:hAnsi="Arial" w:cs="Arial"/>
                <w:b/>
                <w:bCs/>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(1) Hauptamtlich in der Fakultät tätige Professorinnen oder Professoren, Juniorprofessorinnen und Juniorprofessoren, Honorarprofessorinnen oder Honorarprofessoren und Habilitierte, die in der Fakultät regelmäßig lehren</w:t>
            </w:r>
            <w:r w:rsidR="00B25F67">
              <w:rPr>
                <w:rFonts w:ascii="Arial" w:hAnsi="Arial" w:cs="Arial"/>
              </w:rPr>
              <w:t xml:space="preserve">, </w:t>
            </w:r>
            <w:r w:rsidRPr="00095426">
              <w:rPr>
                <w:rFonts w:ascii="Arial" w:hAnsi="Arial" w:cs="Arial"/>
              </w:rPr>
              <w:t>haben das Recht zur Betreuung von Doktorandinnen und Doktoranden. Doktorandinnen und Doktoranden haben keinen Anspruch darauf, von einer bestimmten Hochschullehrerin oder einem bestimmten Hochschullehrer betreut zu werden. Nach dem Ausscheiden aus dem aktiven Dienst kann eine Hochschullehrerin oder ein Hochschullehrer die Betreuung zu Ende führen; die Annahme neuer Doktorandinnen oder Doktoranden ist ausgeschlossen.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(2) In Ausnahmefällen kann der Fakultätskonvent auch Angehörigen anderer wissenschaftlicher Einrichtungen, mit denen ein Kooperationsvertrag besteht, das Recht zur Betreuung einräumen, wenn sie ansonsten dem in Absatz 1 genannten Personenkreis zuzuordnen sind.</w:t>
            </w:r>
          </w:p>
          <w:p w:rsidR="00943F8B" w:rsidRPr="00095426" w:rsidRDefault="00943F8B" w:rsidP="00095426">
            <w:pPr>
              <w:tabs>
                <w:tab w:val="left" w:pos="-1440"/>
                <w:tab w:val="left" w:pos="-720"/>
              </w:tabs>
              <w:spacing w:after="0" w:line="240" w:lineRule="auto"/>
              <w:rPr>
                <w:rFonts w:ascii="Arial" w:hAnsi="Arial" w:cs="Arial"/>
                <w:b/>
                <w:bCs/>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(3)</w:t>
            </w:r>
            <w:r w:rsidRPr="00095426">
              <w:rPr>
                <w:rFonts w:ascii="Arial" w:hAnsi="Arial" w:cs="Arial"/>
                <w:color w:val="FF0000"/>
              </w:rPr>
              <w:t xml:space="preserve"> </w:t>
            </w:r>
            <w:r w:rsidRPr="00095426">
              <w:rPr>
                <w:rFonts w:ascii="Arial" w:hAnsi="Arial" w:cs="Arial"/>
              </w:rPr>
              <w:t>Die Bereitschaft zur Betreuung</w:t>
            </w:r>
            <w:r>
              <w:t xml:space="preserve"> </w:t>
            </w:r>
            <w:r w:rsidRPr="007A564F">
              <w:rPr>
                <w:rFonts w:ascii="Arial" w:hAnsi="Arial" w:cs="Arial"/>
              </w:rPr>
              <w:t xml:space="preserve">wird durch die Betreuungsvereinbarung dokumentiert. Die vorzeitige Beendigung der Betreuung wird dem Dekan oder der Dekanin  schriftlich mitgeteilt. </w:t>
            </w:r>
            <w:r w:rsidRPr="00095426">
              <w:rPr>
                <w:rFonts w:ascii="Arial" w:hAnsi="Arial" w:cs="Arial"/>
              </w:rPr>
              <w:t>Die Betreuerin oder der Betreuer ist gegenüber der Doktorandin oder dem Doktoranden verpflichtet, ihr oder ihm bei ihrem oder seinem Promotionsvorhaben nach Kräften so zu unterstützen, dass ein zügiger Fortschritt ermöglicht wird.</w:t>
            </w:r>
            <w:r w:rsidR="00B25F67">
              <w:rPr>
                <w:rFonts w:ascii="Arial" w:hAnsi="Arial" w:cs="Arial"/>
              </w:rPr>
              <w:t xml:space="preserve"> </w:t>
            </w:r>
            <w:r w:rsidRPr="007A564F">
              <w:rPr>
                <w:rFonts w:ascii="Arial" w:hAnsi="Arial" w:cs="Arial"/>
              </w:rPr>
              <w:t xml:space="preserve">Insbesondere sorgen die Betreuerin oder der Betreuer dafür, dass die Doktorandinnen und Doktoranden mindestens zweimal im Jahr  über den Fortschritt ihrer Arbeiten im Beisein ihrer Betreuerin oder ihres Betreuers in einem arbeitsgruppeninternen Seminar berichten. </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(4) Um die Angebote des Graduiertenzentrums der Universität nutzen zu können, wird eine Registrierung beim Graduiertenzentrum empfohlen.</w:t>
            </w:r>
          </w:p>
          <w:p w:rsidR="00943F8B" w:rsidRPr="00095426" w:rsidRDefault="00943F8B" w:rsidP="00095426">
            <w:pPr>
              <w:tabs>
                <w:tab w:val="left" w:pos="-1440"/>
                <w:tab w:val="left" w:pos="-720"/>
              </w:tabs>
              <w:spacing w:after="0" w:line="240" w:lineRule="auto"/>
              <w:rPr>
                <w:rFonts w:ascii="Arial" w:hAnsi="Arial" w:cs="Arial"/>
                <w:b/>
                <w:bCs/>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br w:type="page"/>
              <w:t>§ 7</w:t>
            </w: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b/>
                <w:bCs/>
              </w:rPr>
              <w:t>Dissertation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 xml:space="preserve">(1) Die Dissertation muss ein Thema aus dem Gebiet der Agrarwissenschaften, der Ökotrophologie oder der Agrarökonomie zum Gegenstand haben und in deutscher oder englischer Sprache abgefasst sein. Jede Dissertation hat eine Zusammenfassung in deutscher </w:t>
            </w:r>
            <w:r>
              <w:rPr>
                <w:rFonts w:ascii="Arial" w:hAnsi="Arial" w:cs="Arial"/>
              </w:rPr>
              <w:t xml:space="preserve">und </w:t>
            </w:r>
            <w:r w:rsidRPr="00095426">
              <w:rPr>
                <w:rFonts w:ascii="Arial" w:hAnsi="Arial" w:cs="Arial"/>
              </w:rPr>
              <w:t>englischer Sprache</w:t>
            </w:r>
            <w:r w:rsidRPr="00095426">
              <w:rPr>
                <w:rFonts w:ascii="Arial" w:hAnsi="Arial" w:cs="Arial"/>
                <w:strike/>
              </w:rPr>
              <w:t xml:space="preserve"> </w:t>
            </w:r>
            <w:r w:rsidRPr="00095426">
              <w:rPr>
                <w:rFonts w:ascii="Arial" w:hAnsi="Arial" w:cs="Arial"/>
              </w:rPr>
              <w:t>zu enthalten.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 xml:space="preserve">(2) Als Dissertation können auch eine oder mehrere bereits veröffentlichte oder zur Veröffentlichung akzeptierte Abhandlungen eingereicht werden, einschließlich einer gemeinsamen Einleitung und einer Schlussbetrachtung, die von der Kandidatin oder dem Kandidaten alleine verfasst werden müssen. Bei kumulativen Dissertationen, die aus noch nicht publizierten bzw. akzeptierten Abhandlungen bestehen, müssen die verwendeten Methoden ausreichend in einem Anhang beschrieben werden. </w:t>
            </w: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Bei Veröffentlichungen mit mehreren Autorinnen oder Autoren ist von der Doktorandin oder dem Doktoranden der eigene Anteil darzulegen und von der Erstberichterstatterin oder dem Erstberichterstatter zu bestätigen (§ 8 Abs. 1 Nr. 4).</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 8</w:t>
            </w: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b/>
                <w:bCs/>
              </w:rPr>
              <w:t>Zulassung zum Promotionsprüfungsverfahren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(1) Das Gesuch um Zulassung zum Promotionsprüfungsverfahren ist an die Dekanin oder an den Dekan zu richten. Dem Gesuch sind beizufügen: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numPr>
                <w:ilvl w:val="0"/>
                <w:numId w:val="3"/>
              </w:numPr>
              <w:tabs>
                <w:tab w:val="left" w:pos="-1440"/>
                <w:tab w:val="left" w:pos="-720"/>
              </w:tabs>
              <w:spacing w:after="0" w:line="240" w:lineRule="auto"/>
              <w:rPr>
                <w:rFonts w:ascii="Arial" w:hAnsi="Arial" w:cs="Arial"/>
              </w:rPr>
            </w:pPr>
            <w:r w:rsidRPr="00095426">
              <w:rPr>
                <w:rFonts w:ascii="Arial" w:hAnsi="Arial" w:cs="Arial"/>
              </w:rPr>
              <w:t>Die Dissertation in fünf Exemplaren und in einer vom Dekanat zu definierenden elektronischen Form,</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numPr>
                <w:ilvl w:val="0"/>
                <w:numId w:val="3"/>
              </w:numPr>
              <w:tabs>
                <w:tab w:val="left" w:pos="-1440"/>
                <w:tab w:val="left" w:pos="-720"/>
              </w:tabs>
              <w:spacing w:after="0" w:line="240" w:lineRule="auto"/>
              <w:rPr>
                <w:rFonts w:ascii="Arial" w:hAnsi="Arial" w:cs="Arial"/>
              </w:rPr>
            </w:pPr>
            <w:r w:rsidRPr="00095426">
              <w:rPr>
                <w:rFonts w:ascii="Arial" w:hAnsi="Arial" w:cs="Arial"/>
              </w:rPr>
              <w:t>eine eidesstattliche Erklärung, dass die Dissertation selbständig und ohne unerlaubte Hilfe angefertigt wurde und dass die Arbeit noch keiner anderen Fakultät vorgelegen hat,</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numPr>
                <w:ilvl w:val="0"/>
                <w:numId w:val="3"/>
              </w:numPr>
              <w:autoSpaceDE w:val="0"/>
              <w:autoSpaceDN w:val="0"/>
              <w:adjustRightInd w:val="0"/>
              <w:spacing w:after="0" w:line="240" w:lineRule="auto"/>
              <w:rPr>
                <w:rFonts w:ascii="Arial" w:hAnsi="Arial" w:cs="Arial"/>
              </w:rPr>
            </w:pPr>
            <w:r w:rsidRPr="00095426">
              <w:rPr>
                <w:rFonts w:ascii="Arial" w:hAnsi="Arial" w:cs="Arial"/>
              </w:rPr>
              <w:t>eine Erklärung, dass die Arbeit den Grundsätzen der guten wissenschaftlichen Praxis wie sie von der DFG definiert worden sind, entspricht,</w:t>
            </w:r>
          </w:p>
          <w:p w:rsidR="00943F8B" w:rsidRPr="00095426" w:rsidRDefault="00943F8B" w:rsidP="00095426">
            <w:pPr>
              <w:autoSpaceDE w:val="0"/>
              <w:autoSpaceDN w:val="0"/>
              <w:adjustRightInd w:val="0"/>
              <w:spacing w:after="0" w:line="240" w:lineRule="auto"/>
              <w:rPr>
                <w:rFonts w:ascii="Arial" w:hAnsi="Arial" w:cs="Arial"/>
                <w:sz w:val="12"/>
                <w:szCs w:val="12"/>
              </w:rPr>
            </w:pPr>
          </w:p>
          <w:p w:rsidR="00943F8B" w:rsidRPr="00095426" w:rsidRDefault="00943F8B" w:rsidP="00095426">
            <w:pPr>
              <w:numPr>
                <w:ilvl w:val="0"/>
                <w:numId w:val="3"/>
              </w:numPr>
              <w:autoSpaceDE w:val="0"/>
              <w:autoSpaceDN w:val="0"/>
              <w:adjustRightInd w:val="0"/>
              <w:spacing w:after="0" w:line="240" w:lineRule="auto"/>
              <w:rPr>
                <w:rFonts w:ascii="Arial" w:hAnsi="Arial" w:cs="Arial"/>
              </w:rPr>
            </w:pPr>
            <w:r w:rsidRPr="00095426">
              <w:rPr>
                <w:rFonts w:ascii="Arial" w:hAnsi="Arial" w:cs="Arial"/>
              </w:rPr>
              <w:t>bei kumulativen Dissertationen die Angabe der Anteile der Co-Autoren (</w:t>
            </w:r>
            <w:proofErr w:type="spellStart"/>
            <w:r w:rsidRPr="00095426">
              <w:rPr>
                <w:rFonts w:ascii="Arial" w:hAnsi="Arial" w:cs="Arial"/>
              </w:rPr>
              <w:t>Declaration</w:t>
            </w:r>
            <w:proofErr w:type="spellEnd"/>
            <w:r w:rsidRPr="00095426">
              <w:rPr>
                <w:rFonts w:ascii="Arial" w:hAnsi="Arial" w:cs="Arial"/>
              </w:rPr>
              <w:t xml:space="preserve"> </w:t>
            </w:r>
            <w:proofErr w:type="spellStart"/>
            <w:r w:rsidRPr="00095426">
              <w:rPr>
                <w:rFonts w:ascii="Arial" w:hAnsi="Arial" w:cs="Arial"/>
              </w:rPr>
              <w:t>of</w:t>
            </w:r>
            <w:proofErr w:type="spellEnd"/>
            <w:r w:rsidRPr="00095426">
              <w:rPr>
                <w:rFonts w:ascii="Arial" w:hAnsi="Arial" w:cs="Arial"/>
              </w:rPr>
              <w:t xml:space="preserve"> </w:t>
            </w:r>
            <w:proofErr w:type="spellStart"/>
            <w:r w:rsidRPr="00095426">
              <w:rPr>
                <w:rFonts w:ascii="Arial" w:hAnsi="Arial" w:cs="Arial"/>
              </w:rPr>
              <w:t>co-authorship</w:t>
            </w:r>
            <w:proofErr w:type="spellEnd"/>
            <w:r w:rsidRPr="00095426">
              <w:rPr>
                <w:rFonts w:ascii="Arial" w:hAnsi="Arial" w:cs="Arial"/>
              </w:rPr>
              <w:t xml:space="preserve">) gemäß § 7 Abs. 2, </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numPr>
                <w:ilvl w:val="0"/>
                <w:numId w:val="3"/>
              </w:numPr>
              <w:tabs>
                <w:tab w:val="left" w:pos="-1440"/>
                <w:tab w:val="left" w:pos="-720"/>
              </w:tabs>
              <w:spacing w:after="0" w:line="240" w:lineRule="auto"/>
              <w:rPr>
                <w:rFonts w:ascii="Arial" w:hAnsi="Arial" w:cs="Arial"/>
              </w:rPr>
            </w:pPr>
            <w:r w:rsidRPr="00095426">
              <w:rPr>
                <w:rFonts w:ascii="Arial" w:hAnsi="Arial" w:cs="Arial"/>
              </w:rPr>
              <w:t xml:space="preserve">eine Erklärung, ob die Disputation in deutscher oder englischer Sprache abgehalten werden soll, </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numPr>
                <w:ilvl w:val="0"/>
                <w:numId w:val="3"/>
              </w:numPr>
              <w:tabs>
                <w:tab w:val="left" w:pos="-1440"/>
                <w:tab w:val="left" w:pos="-720"/>
              </w:tabs>
              <w:spacing w:after="0" w:line="240" w:lineRule="auto"/>
              <w:rPr>
                <w:rFonts w:ascii="Arial" w:hAnsi="Arial" w:cs="Arial"/>
              </w:rPr>
            </w:pPr>
            <w:r w:rsidRPr="00095426">
              <w:rPr>
                <w:rFonts w:ascii="Arial" w:hAnsi="Arial" w:cs="Arial"/>
              </w:rPr>
              <w:t>ein Lebenslauf in deutscher oder englischer Sprache, der über Bildungs- und Ausbildungsgang der Bewerberin oder des Bewerbers Aufschluss gibt, mit Angabe der Staatsangehörigkeit,</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numPr>
                <w:ilvl w:val="0"/>
                <w:numId w:val="3"/>
              </w:numPr>
              <w:tabs>
                <w:tab w:val="left" w:pos="-1440"/>
                <w:tab w:val="left" w:pos="-720"/>
              </w:tabs>
              <w:spacing w:after="0" w:line="240" w:lineRule="auto"/>
              <w:rPr>
                <w:rFonts w:ascii="Arial" w:hAnsi="Arial" w:cs="Arial"/>
              </w:rPr>
            </w:pPr>
            <w:r w:rsidRPr="00095426">
              <w:rPr>
                <w:rFonts w:ascii="Arial" w:hAnsi="Arial" w:cs="Arial"/>
              </w:rPr>
              <w:t>das Reifezeugnis oder ein durch Rechtsvorschrift oder von der zuständigen staatlichen Stelle als gleichwertig anerkanntes Zeugnis, ferner Zeugnisse über sonstige Ausbildung, Studium und bereits abgelegte Prüfungen,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numPr>
                <w:ilvl w:val="0"/>
                <w:numId w:val="3"/>
              </w:numPr>
              <w:tabs>
                <w:tab w:val="left" w:pos="-1440"/>
                <w:tab w:val="left" w:pos="-720"/>
              </w:tabs>
              <w:spacing w:after="0" w:line="240" w:lineRule="auto"/>
              <w:rPr>
                <w:rFonts w:ascii="Arial" w:hAnsi="Arial" w:cs="Arial"/>
              </w:rPr>
            </w:pPr>
            <w:r w:rsidRPr="00095426">
              <w:rPr>
                <w:rFonts w:ascii="Arial" w:hAnsi="Arial" w:cs="Arial"/>
              </w:rPr>
              <w:t>ein polizeiliches Führungszeugnis sowie eine Erklärung der Bewerberin oder des Bewerbers darüber, ob ein strafrechtliches Ermittlungsverfahren gegen sie oder ihn schwebt,</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numPr>
                <w:ilvl w:val="0"/>
                <w:numId w:val="3"/>
              </w:numPr>
              <w:tabs>
                <w:tab w:val="left" w:pos="-1440"/>
                <w:tab w:val="left" w:pos="-720"/>
              </w:tabs>
              <w:spacing w:after="0" w:line="240" w:lineRule="auto"/>
              <w:rPr>
                <w:rFonts w:ascii="Arial" w:hAnsi="Arial" w:cs="Arial"/>
              </w:rPr>
            </w:pPr>
            <w:r w:rsidRPr="00095426">
              <w:rPr>
                <w:rFonts w:ascii="Arial" w:hAnsi="Arial" w:cs="Arial"/>
              </w:rPr>
              <w:t>eine von der Erstberichterstatterin oder vom Erstberichterstatter genehmigte einseitige Kurzfassung der Dissertation in deutscher Sprache,</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sz w:val="12"/>
                <w:szCs w:val="12"/>
              </w:rPr>
            </w:pPr>
          </w:p>
          <w:p w:rsidR="00B25F67" w:rsidRDefault="00943F8B" w:rsidP="00095426">
            <w:pPr>
              <w:tabs>
                <w:tab w:val="left" w:pos="-1440"/>
                <w:tab w:val="left" w:pos="-720"/>
              </w:tabs>
              <w:spacing w:after="0" w:line="240" w:lineRule="auto"/>
              <w:rPr>
                <w:rFonts w:ascii="Arial" w:hAnsi="Arial" w:cs="Arial"/>
              </w:rPr>
            </w:pPr>
            <w:r w:rsidRPr="00095426">
              <w:rPr>
                <w:rFonts w:ascii="Arial" w:hAnsi="Arial" w:cs="Arial"/>
              </w:rPr>
              <w:t>(2) Die Zulassung ist zu versagen, wenn die Bewerberin oder der Bewerber die Voraussetzungen für die Zulassung gemäß § 4 dieser Satzung nicht erfüllt</w:t>
            </w:r>
            <w:r>
              <w:rPr>
                <w:rFonts w:ascii="Arial" w:hAnsi="Arial" w:cs="Arial"/>
              </w:rPr>
              <w:t>,</w:t>
            </w:r>
            <w:r w:rsidRPr="00095426">
              <w:rPr>
                <w:rFonts w:ascii="Arial" w:hAnsi="Arial" w:cs="Arial"/>
              </w:rPr>
              <w:t xml:space="preserve"> Gründe gemäß § 40 Abs. 2 Nr. 3 bis 5 HSG vorliegen</w:t>
            </w:r>
            <w:r w:rsidRPr="009D36F1">
              <w:rPr>
                <w:rFonts w:ascii="Arial" w:hAnsi="Arial" w:cs="Arial"/>
                <w:color w:val="FFFF00"/>
              </w:rPr>
              <w:t xml:space="preserve">  </w:t>
            </w:r>
            <w:r w:rsidRPr="00095426">
              <w:rPr>
                <w:rFonts w:ascii="Arial" w:hAnsi="Arial" w:cs="Arial"/>
              </w:rPr>
              <w:t xml:space="preserve"> </w:t>
            </w:r>
            <w:r w:rsidRPr="00943F8B">
              <w:rPr>
                <w:rFonts w:ascii="Arial" w:hAnsi="Arial" w:cs="Arial"/>
              </w:rPr>
              <w:lastRenderedPageBreak/>
              <w:t>oder wenn Gründe vorliegen, die den Entzug eines akademischen Grades rechtfertigen würden oder ein akademischer Grad entzogen worden ist, wenn die antragstellende Person bereits endgültig in einem Promotionsverfahren in demselben oder einem verwandten Fachgebiet gescheitert ist oder sich in einem entsprechenden Verfahren befindet.</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(3) Das Promotionsgesuch kann zurückgezogen werden, solange das Promotionsprüfungsverfahren nicht erfolglos beendet ist.</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(4) Über die Zulassung entscheidet die Dekanin oder der Dekan. Die Ablehnung des Promotionsgesuches ist zu begründen und mit einer Rechtsmittelbelehrung zu versehen.</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 9</w:t>
            </w: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b/>
                <w:bCs/>
              </w:rPr>
              <w:t>Bestellung der Berichterstatterinnen oder Berichterstatter</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(1) Sind die Voraussetzungen für die Zulassung erfüllt, so bestellt die Dekanin oder der Dekan mindestens zwei Berichterstatterinnen oder Berichterstatter für die Dissertation.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(2) Eine der Berichterstatterinnen oder einer der Berichterstatter muss ein Mitglied der Agrar- und Ernährungswissenschaftlichen Fakultät nach § 6 Abs. 1 und 2</w:t>
            </w:r>
            <w:r w:rsidRPr="00095426">
              <w:rPr>
                <w:rFonts w:ascii="Arial" w:hAnsi="Arial" w:cs="Arial"/>
                <w:color w:val="FF0000"/>
              </w:rPr>
              <w:t xml:space="preserve"> </w:t>
            </w:r>
            <w:r w:rsidRPr="00095426">
              <w:rPr>
                <w:rFonts w:ascii="Arial" w:hAnsi="Arial" w:cs="Arial"/>
              </w:rPr>
              <w:t>dieser Satzung sein. Erstberichterstatterin oder Erstberichterstatter soll das Fakultätsmitglied oder die betreuende Person gemäß § 6 Abs. 2 sein, das oder die die Bewerberin oder den Bewerber als Doktorandin oder Doktorand betreut hat.</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(3) Ein früheres Mitglied der Fakultät kann zur Berichterstatterin oder zum Berichterstatter bestellt werden, wenn es die Bewerberin oder den Bewerber als Doktorandin oder Doktorand betreut hat.</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(4) Behandelt die Dissertation ein Grenzgebiet zweier Fakultäten, so kann die Dekanin oder der Dekan ein Mitglied einer anderen Fakultät der Christian-Albrechts-Universität oder auch einer auswärtigen Hochschule um Berichterstattung bitten.</w:t>
            </w: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Als Berichterstatterinnen oder Berichterstatter können auch auswärtige Mitglieder einer wissenschaftlichen Hochschule oder Fachhochschule, als zusätzliche Berichterstatterinnen oder Berichterstatter auch auswärtige Mitglieder einer wissenschaftlichen Institution gebeten werden, sofern sie eine entsprechende Qualifikation wie der in § 6 Abs. 1 und 2 genannte Personenkreis aufweisen. Das gilt insbesondere dann, wenn die Kandidatin oder der Kandidat Absolventin oder Absolvent einer Fachhochschule ist.</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(5) Die Dekanin oder der Dekan hat vor Bestellung von Berichterstatterinnen oder Berichterstattern, die nicht Mitglieder der Agrar- und Ernährungswissenschaftlichen Fakultät sind, dafür Sorge zu tragen, dass eine Verzögerung im Promotionsverfahren nicht eintritt.</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br w:type="page"/>
              <w:t>§ 10</w:t>
            </w: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b/>
                <w:bCs/>
              </w:rPr>
              <w:t>Beurteilung der Dissertation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(1) Die Berichterstatterinnen oder Berichterstatter empfehlen dem Fakultätskonvent in einem begründeten Gutachten die Annahme oder Ablehnung der Dissertation.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 xml:space="preserve">(2) Die zur Annahme vorgeschlagene Dissertation ist nach §20 zu benoten. </w:t>
            </w:r>
          </w:p>
          <w:p w:rsidR="00943F8B" w:rsidRPr="00095426" w:rsidRDefault="00943F8B" w:rsidP="00095426">
            <w:pPr>
              <w:tabs>
                <w:tab w:val="left" w:pos="-1440"/>
                <w:tab w:val="left" w:pos="-720"/>
              </w:tabs>
              <w:spacing w:after="0" w:line="240" w:lineRule="auto"/>
              <w:rPr>
                <w:rFonts w:ascii="Arial" w:hAnsi="Arial" w:cs="Arial"/>
                <w:color w:val="000000"/>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(3) Wird die Dissertation von beiden Berichterstatterinnen oder Berichterstattern mit "ausgezeichnet" benotet, so ist von der Dekanin oder vom Dekan ein drittes, auswärtiges Gutachten einzuholen. Wird die Arbeit nicht von allen drei Gutachterinnen oder Gutachtern mit „ausgezeichnet“ bewertet, erhält sie die Note „sehr gut“.</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(4) Wird die Rückgabe der Dissertation zur Umarbeitung vorgeschlagen, so sollen die Berichterstatterinnen oder Berichterstatter eine Frist angeben, innerhalb derer die Bewerberin oder der Bewerber die Arbeit erneut zur Prüfung einzureichen hat.</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autoSpaceDE w:val="0"/>
              <w:autoSpaceDN w:val="0"/>
              <w:adjustRightInd w:val="0"/>
              <w:spacing w:after="0" w:line="240" w:lineRule="auto"/>
              <w:rPr>
                <w:rFonts w:ascii="Arial" w:hAnsi="Arial" w:cs="Arial"/>
              </w:rPr>
            </w:pPr>
            <w:r w:rsidRPr="00095426">
              <w:rPr>
                <w:rFonts w:ascii="Arial" w:hAnsi="Arial" w:cs="Arial"/>
              </w:rPr>
              <w:t xml:space="preserve">(5) Stimmen die Gutachten hinsichtlich der Note der Dissertation nicht überein, so legen die Berichterstatterinnen oder Berichterstatter gemeinsam eine Note fest. </w:t>
            </w:r>
          </w:p>
          <w:p w:rsidR="00943F8B" w:rsidRPr="00095426" w:rsidRDefault="00943F8B" w:rsidP="00095426">
            <w:pPr>
              <w:autoSpaceDE w:val="0"/>
              <w:autoSpaceDN w:val="0"/>
              <w:adjustRightInd w:val="0"/>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(6) Können sich die Berichterstatterinnen oder Berichterstatter nicht auf eine gemeinsame Note einigen, so legt die Dekanin oder der Dekan nach Rücksprache mit den Berichterstatterinnen oder Berichterstattern eine Note fest. Der Dekanin oder dem Dekan steht es frei, zur Entscheidungsfindung ein weiteres Gutachten einzuholen. Liegen die Gutachten um mehr als eine Note auseinander, so ist ein drittes Gutachten einzuholen.</w:t>
            </w:r>
          </w:p>
          <w:p w:rsidR="00943F8B" w:rsidRDefault="00943F8B" w:rsidP="00095426">
            <w:pPr>
              <w:tabs>
                <w:tab w:val="left" w:pos="-1440"/>
                <w:tab w:val="left" w:pos="-720"/>
              </w:tabs>
              <w:spacing w:after="0" w:line="240" w:lineRule="auto"/>
              <w:rPr>
                <w:rFonts w:ascii="Arial" w:hAnsi="Arial" w:cs="Arial"/>
              </w:rPr>
            </w:pPr>
          </w:p>
          <w:p w:rsidR="00D57B0C" w:rsidRDefault="00D57B0C" w:rsidP="00095426">
            <w:pPr>
              <w:tabs>
                <w:tab w:val="left" w:pos="-1440"/>
                <w:tab w:val="left" w:pos="-720"/>
              </w:tabs>
              <w:spacing w:after="0" w:line="240" w:lineRule="auto"/>
              <w:rPr>
                <w:rFonts w:ascii="Arial" w:hAnsi="Arial" w:cs="Arial"/>
              </w:rPr>
            </w:pPr>
          </w:p>
          <w:p w:rsidR="00D57B0C" w:rsidRPr="00095426" w:rsidRDefault="00D57B0C"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 11</w:t>
            </w: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b/>
                <w:bCs/>
              </w:rPr>
              <w:t>Auslegung der Dissertation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lastRenderedPageBreak/>
              <w:t>(1) Die Dissertation und die Gutachten sind zwei Wochen im Dekanat zur Einsichtnahme auszulegen. Jedes in § 6 Abs. 1 und 2 dieser Satzung genannte Mitglied der Fakultät ist berechtigt, sie einzusehen und ein eigenes begründetes Gutachten abzugeben. Derartige Gutachten sind von der Dekanin oder dem Dekan bei der Notengebung zu berücksichtigen.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(2) Wird von einem Mitglied der Fakultät nach § 6 Einspruch gegen die Annahme der Dissertation eingelegt oder widersprechen sich die Berichterstatterinnen oder Berichterstatter in dieser Hinsicht, so kann die Dekanin oder der Dekan weitere Gutachten auch von Mitgliedern anderer Fakultäten oder von auswärtigen Mitgliedern einer wissenschaftlichen Hochschule (vgl. § 8 Abs. 4) einfordern. Der Fakultätskonvent trifft dann die endgültige Entscheidung.</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(3) Wird kein Einspruch gegen die von den Berichterstatterinnen oder Berichterstattern empfohlene Annahme der Dissertation eingelegt, so spricht die Dekanin oder der Dekan namens der Fakultät die Zulassung zur Disputation aus.</w:t>
            </w:r>
          </w:p>
          <w:p w:rsidR="00943F8B" w:rsidRPr="00095426" w:rsidRDefault="00943F8B" w:rsidP="00095426">
            <w:pPr>
              <w:tabs>
                <w:tab w:val="left" w:pos="-1440"/>
                <w:tab w:val="left" w:pos="-720"/>
              </w:tabs>
              <w:spacing w:after="0" w:line="240" w:lineRule="auto"/>
              <w:rPr>
                <w:rFonts w:ascii="Arial" w:hAnsi="Arial" w:cs="Arial"/>
                <w:b/>
                <w:bCs/>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 12</w:t>
            </w: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b/>
                <w:bCs/>
              </w:rPr>
              <w:t>Ablehnung der Dissertation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Wird die Dissertation abgelehnt, erklärt der Dekan oder die Dekanin das Promotionsprüfungsverfahren für beendet und erteilt einen entsprechenden Bescheid. Die Dissertation verbleibt mit den Gutachten bei den Akten der Fakultät. Die Kandidatin oder der Kandidat kann sich höchstens noch ein weiteres Mal mit einer Ausarbeitung zu einem anderen Thema um Zulassung zur Promotion bewerben.</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 13</w:t>
            </w: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Termin und Grundsätze der Disputation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(1) Ist die Dissertation angenommen, so bestimmt die Dekanin oder der Dekan den Termin zur Disputation, benennt die Prüfenden, zu denen die Erstberichterstatterin oder der Erstberichterstatter gehören soll, und informiert die Mitglieder des Fakultätskonvents. Wird das Fachgebiet durch mehr als eine Angehörige oder einen Angehörigen des Lehrkörpers vertreten, kann die Kandidatin oder der Kandidat der Dekanin oder dem Dekan eine Prüferin oder einen Prüfer aus diesem Fachgebiet vorschlagen, ohne dass daraus ein Anspruch auf Berücksichtigung des Vorschlags entsteht.</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(2) Jedes Mitglied im Sinne § 6 Abs. 1 und 2 dieser Satzung hat das Recht, an der Disputation teilzunehmen und der Kandidatin oder dem Kandidaten Fragen zu stellen.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Default="00943F8B" w:rsidP="00095426">
            <w:pPr>
              <w:tabs>
                <w:tab w:val="left" w:pos="-1440"/>
                <w:tab w:val="left" w:pos="-720"/>
              </w:tabs>
              <w:spacing w:after="0" w:line="240" w:lineRule="auto"/>
              <w:rPr>
                <w:rFonts w:ascii="Arial" w:hAnsi="Arial" w:cs="Arial"/>
                <w:strike/>
              </w:rPr>
            </w:pPr>
            <w:r w:rsidRPr="00095426">
              <w:rPr>
                <w:rFonts w:ascii="Arial" w:hAnsi="Arial" w:cs="Arial"/>
              </w:rPr>
              <w:t xml:space="preserve">(3) </w:t>
            </w:r>
            <w:r w:rsidRPr="00943F8B">
              <w:rPr>
                <w:rFonts w:ascii="Arial" w:hAnsi="Arial" w:cs="Arial"/>
              </w:rPr>
              <w:t>Die Benotung der Disputation ist zu protokollieren.</w:t>
            </w:r>
            <w:r w:rsidRPr="00943F8B">
              <w:rPr>
                <w:rFonts w:ascii="Arial" w:hAnsi="Arial" w:cs="Arial"/>
                <w:strike/>
              </w:rPr>
              <w:t xml:space="preserve"> </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b/>
                <w:bCs/>
              </w:rPr>
              <w:t>§ 14 Durchführung der Disputation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(1)</w:t>
            </w:r>
            <w:r w:rsidRPr="00095426">
              <w:rPr>
                <w:rFonts w:ascii="Arial" w:hAnsi="Arial" w:cs="Arial"/>
                <w:b/>
                <w:bCs/>
              </w:rPr>
              <w:t xml:space="preserve"> </w:t>
            </w:r>
            <w:r w:rsidRPr="00095426">
              <w:rPr>
                <w:rFonts w:ascii="Arial" w:hAnsi="Arial" w:cs="Arial"/>
              </w:rPr>
              <w:t xml:space="preserve">Die Dekanin oder der Dekan bestellt einen Prüfungsausschuss. Er besteht aus den Berichterstatterinnen oder Berichterstattern </w:t>
            </w:r>
            <w:r w:rsidRPr="00943F8B">
              <w:rPr>
                <w:rFonts w:ascii="Arial" w:hAnsi="Arial" w:cs="Arial"/>
              </w:rPr>
              <w:t xml:space="preserve">sowie in der Regel aus zwei weiteren Hochschullehrerinnen oder Hochschullehrern, mindestens aber einer weiteren Hochschullehrerin oder einem weiteren Hochschullehrer </w:t>
            </w:r>
            <w:r w:rsidRPr="00095426">
              <w:rPr>
                <w:rFonts w:ascii="Arial" w:hAnsi="Arial" w:cs="Arial"/>
              </w:rPr>
              <w:t>nach § 6 Abs. 1 und 2. Die Dekanin oder der Dekan bestellt ein Mitglied des Prüfungsausschusses, das nicht Berichterstatterin oder Berichterstatter ist, zur Vorsitzenden oder zum Vorsitzenden. Bei Verhinderung einer auswärtigen Zweitberichterstatterin oder eines auswärtigen Zweitberichterstatters kann die Dekanin oder der Dekan beschließen, dass die Zweitberichterstatterin oder der Zweitberichterstatter durch ein Mitglied der Agrar- und Ernährungswissenschaftlichen Fakultät oder einer anderen Fakultät der Christian-Albrechts-Universität nach § 6 Abs. 1 und 2 ersetzt wird.</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(2) Die Disputation besteht aus einem Vortrag der Doktorandin oder des Doktoranden über ihre oder seine Dissertation von 20 Minuten Dauer und einer anschließenden Aussprache von 60 Minuten, in der auch Fragen aus angrenzenden Fachgebieten gestellt werden können. Während der Aussprache kann die oder der Vorsitzende Fragen aus dem Kreis der Zuhörerinnen und Zuhörer zulassen.</w:t>
            </w:r>
          </w:p>
          <w:p w:rsidR="00943F8B" w:rsidRPr="00B25F67" w:rsidRDefault="00943F8B" w:rsidP="00095426">
            <w:pPr>
              <w:tabs>
                <w:tab w:val="left" w:pos="-1440"/>
                <w:tab w:val="left" w:pos="-720"/>
              </w:tabs>
              <w:spacing w:after="0" w:line="240" w:lineRule="auto"/>
              <w:rPr>
                <w:rFonts w:ascii="Arial" w:hAnsi="Arial" w:cs="Arial"/>
                <w:b/>
                <w:bCs/>
                <w:sz w:val="12"/>
                <w:szCs w:val="12"/>
              </w:rPr>
            </w:pPr>
          </w:p>
          <w:p w:rsidR="00943F8B" w:rsidRDefault="00943F8B" w:rsidP="00095426">
            <w:pPr>
              <w:tabs>
                <w:tab w:val="left" w:pos="-1440"/>
                <w:tab w:val="left" w:pos="-720"/>
              </w:tabs>
              <w:spacing w:after="0" w:line="240" w:lineRule="auto"/>
              <w:rPr>
                <w:rFonts w:ascii="Arial" w:hAnsi="Arial" w:cs="Arial"/>
                <w:bCs/>
              </w:rPr>
            </w:pPr>
            <w:r w:rsidRPr="00943F8B">
              <w:rPr>
                <w:rFonts w:ascii="Arial" w:hAnsi="Arial" w:cs="Arial"/>
                <w:bCs/>
              </w:rPr>
              <w:t>(3) Macht eine Kandidatin oder ein Kandidat glaubhaft, dass sie oder er wegen einer chronischen Krankheit oder einer Behinderung nicht in der Lage ist, die Disputation ganz oder teilweise in der vorgesehenen Form abzulegen, kann die oder der Vorsitzende des Promotionsausschusses gleichwertige Prüfungsleistungen in einer bedarfsgerechten Form gestatten. Bei Entscheidungen der oder des Promotionsausschussvorsitzenden kann die Vertreterin oder der Vertreter der Schwerbehinderten der Universität beteiligt werden. Die  chronische Krankheit oder die Behinderung muss durch ein ärztliches Attest belegt werden.</w:t>
            </w: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 15</w:t>
            </w: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b/>
                <w:bCs/>
              </w:rPr>
              <w:lastRenderedPageBreak/>
              <w:t>Fernbleiben von der Disputation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Bleibt die ordnungsgemäß geladene Bewerberin oder der ordnungsgemäß geladene Bewerber der Disputation ohne ausreichende Entschuldigung fern, so gilt die Disputation als nicht bestanden.</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br w:type="page"/>
              <w:t>§ 16</w:t>
            </w: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b/>
                <w:bCs/>
              </w:rPr>
              <w:t>Öffentlichkeit der Disputation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autoSpaceDE w:val="0"/>
              <w:autoSpaceDN w:val="0"/>
              <w:adjustRightInd w:val="0"/>
              <w:spacing w:after="0" w:line="240" w:lineRule="auto"/>
              <w:rPr>
                <w:rFonts w:ascii="Arial" w:hAnsi="Arial" w:cs="Arial"/>
              </w:rPr>
            </w:pPr>
            <w:r w:rsidRPr="00095426">
              <w:rPr>
                <w:rFonts w:ascii="Arial" w:hAnsi="Arial" w:cs="Arial"/>
              </w:rPr>
              <w:t xml:space="preserve">(1) Disputationen sind hochschulöffentlich. Auf begründeten Antrag kann der Promotionsausschuss eine Disputation in nichtöffentlicher Sitzung zulassen. </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 xml:space="preserve">(2) Die Öffentlichkeit erstreckt sich nicht auf die Beratung und die Bekanntgabe des Prüfungsergebnisses. </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 17</w:t>
            </w: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b/>
                <w:bCs/>
              </w:rPr>
              <w:t>Fachgebiete</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Fachgebiete sind alle in der Anlage</w:t>
            </w:r>
            <w:r>
              <w:rPr>
                <w:rFonts w:ascii="Arial" w:hAnsi="Arial" w:cs="Arial"/>
              </w:rPr>
              <w:t xml:space="preserve"> </w:t>
            </w:r>
            <w:r w:rsidR="00B25F67">
              <w:rPr>
                <w:rFonts w:ascii="Arial" w:hAnsi="Arial" w:cs="Arial"/>
              </w:rPr>
              <w:t>1</w:t>
            </w:r>
            <w:r>
              <w:rPr>
                <w:rFonts w:ascii="Arial" w:hAnsi="Arial" w:cs="Arial"/>
              </w:rPr>
              <w:t xml:space="preserve"> </w:t>
            </w:r>
            <w:r w:rsidRPr="00095426">
              <w:rPr>
                <w:rFonts w:ascii="Arial" w:hAnsi="Arial" w:cs="Arial"/>
              </w:rPr>
              <w:t>aufgeführten Fachgebiete, sofern sie durch eine Hochschullehrerin oder einen Hochschullehrer nach § 6 Abs. 1 und 2 vertreten werden.</w:t>
            </w:r>
          </w:p>
          <w:p w:rsidR="00943F8B" w:rsidRPr="00095426" w:rsidRDefault="00943F8B" w:rsidP="00095426">
            <w:pPr>
              <w:tabs>
                <w:tab w:val="left" w:pos="-1440"/>
                <w:tab w:val="left" w:pos="-720"/>
              </w:tabs>
              <w:spacing w:after="0" w:line="240" w:lineRule="auto"/>
              <w:rPr>
                <w:rFonts w:ascii="Arial" w:hAnsi="Arial" w:cs="Arial"/>
                <w:b/>
                <w:bCs/>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 18</w:t>
            </w: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b/>
                <w:bCs/>
              </w:rPr>
              <w:t>Bewertung der Disputation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 xml:space="preserve">(1) Jedes Mitglied des Prüfungsausschusses bewertet die Prüfungsleistung mit einer Note. Für die Bewertung gilt § 20 Abs. 1 dieser Satzung entsprechend, wobei nicht ausreichende Leistungen als </w:t>
            </w:r>
            <w:r>
              <w:rPr>
                <w:rFonts w:ascii="Arial" w:hAnsi="Arial" w:cs="Arial"/>
              </w:rPr>
              <w:t xml:space="preserve">„nicht bestanden“ </w:t>
            </w:r>
            <w:r w:rsidRPr="00095426">
              <w:rPr>
                <w:rFonts w:ascii="Arial" w:hAnsi="Arial" w:cs="Arial"/>
              </w:rPr>
              <w:t>benotet werden.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(2) Reichen die Prüfungsleistungen aus, so setzen die an der Prüfung der Kandidatin oder des Kandidaten beteiligten Prüferinnen oder Prüfer die Gesamtnote der Disputation fest; es entscheidet die einfache Stimmenmehrheit; bei Stimmengleichheit entscheidet die Stimme der oder des Vorsitzenden. Enthaltungen sind unzulässig.</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b/>
                <w:bCs/>
              </w:rPr>
              <w:t>§ 19</w:t>
            </w: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Wiederholung der Disputation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(1) Wird die Disputation nicht erfolgreich abgeschlossen, so kann die Bewerberin oder der Bewerber die Disputation nur einmal wiederholen.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(2) Die Disputation muss am nächstfolgenden Termin wiederholt werden; Disputationstermine finden in der Regel zweimal pro Semester statt.</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 20</w:t>
            </w: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b/>
                <w:bCs/>
              </w:rPr>
              <w:t>Festsetzung der Noten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 xml:space="preserve">(1) Als Noten für Dissertation und Disputation sind zugelassen: </w:t>
            </w:r>
          </w:p>
          <w:p w:rsidR="00943F8B" w:rsidRPr="00095426" w:rsidRDefault="00943F8B" w:rsidP="00095426">
            <w:pPr>
              <w:tabs>
                <w:tab w:val="left" w:pos="-1440"/>
                <w:tab w:val="left" w:pos="-720"/>
              </w:tabs>
              <w:spacing w:after="0" w:line="240" w:lineRule="auto"/>
              <w:rPr>
                <w:rFonts w:ascii="Arial" w:hAnsi="Arial" w:cs="Arial"/>
                <w:sz w:val="4"/>
                <w:szCs w:val="4"/>
              </w:rPr>
            </w:pPr>
          </w:p>
          <w:p w:rsidR="00943F8B" w:rsidRPr="00095426" w:rsidRDefault="00943F8B" w:rsidP="00095426">
            <w:pPr>
              <w:tabs>
                <w:tab w:val="left" w:pos="-1440"/>
                <w:tab w:val="left" w:pos="-720"/>
              </w:tabs>
              <w:spacing w:after="0" w:line="240" w:lineRule="auto"/>
              <w:ind w:left="720"/>
              <w:rPr>
                <w:rFonts w:ascii="Arial" w:hAnsi="Arial" w:cs="Arial"/>
              </w:rPr>
            </w:pPr>
            <w:r w:rsidRPr="00095426">
              <w:rPr>
                <w:rFonts w:ascii="Arial" w:hAnsi="Arial" w:cs="Arial"/>
              </w:rPr>
              <w:t xml:space="preserve">Ausgezeichnet (0) </w:t>
            </w:r>
          </w:p>
          <w:p w:rsidR="00943F8B" w:rsidRPr="00095426" w:rsidRDefault="00943F8B" w:rsidP="00095426">
            <w:pPr>
              <w:tabs>
                <w:tab w:val="left" w:pos="-1440"/>
                <w:tab w:val="left" w:pos="-720"/>
              </w:tabs>
              <w:spacing w:after="0" w:line="240" w:lineRule="auto"/>
              <w:ind w:left="720"/>
              <w:rPr>
                <w:rFonts w:ascii="Arial" w:hAnsi="Arial" w:cs="Arial"/>
              </w:rPr>
            </w:pPr>
            <w:r w:rsidRPr="00095426">
              <w:rPr>
                <w:rFonts w:ascii="Arial" w:hAnsi="Arial" w:cs="Arial"/>
              </w:rPr>
              <w:t>sehr gut (1)</w:t>
            </w:r>
          </w:p>
          <w:p w:rsidR="00943F8B" w:rsidRPr="00095426" w:rsidRDefault="00943F8B" w:rsidP="00095426">
            <w:pPr>
              <w:tabs>
                <w:tab w:val="left" w:pos="-1440"/>
                <w:tab w:val="left" w:pos="-720"/>
              </w:tabs>
              <w:spacing w:after="0" w:line="240" w:lineRule="auto"/>
              <w:ind w:left="720"/>
              <w:rPr>
                <w:rFonts w:ascii="Arial" w:hAnsi="Arial" w:cs="Arial"/>
              </w:rPr>
            </w:pPr>
            <w:r w:rsidRPr="00095426">
              <w:rPr>
                <w:rFonts w:ascii="Arial" w:hAnsi="Arial" w:cs="Arial"/>
              </w:rPr>
              <w:t>gut (2)</w:t>
            </w:r>
          </w:p>
          <w:p w:rsidR="00943F8B" w:rsidRPr="00095426" w:rsidRDefault="00943F8B" w:rsidP="00095426">
            <w:pPr>
              <w:tabs>
                <w:tab w:val="left" w:pos="-1440"/>
                <w:tab w:val="left" w:pos="-720"/>
              </w:tabs>
              <w:spacing w:after="0" w:line="240" w:lineRule="auto"/>
              <w:ind w:left="720"/>
              <w:rPr>
                <w:rFonts w:ascii="Arial" w:hAnsi="Arial" w:cs="Arial"/>
              </w:rPr>
            </w:pPr>
            <w:r w:rsidRPr="00095426">
              <w:rPr>
                <w:rFonts w:ascii="Arial" w:hAnsi="Arial" w:cs="Arial"/>
              </w:rPr>
              <w:t xml:space="preserve">befriedigend (3) </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br w:type="page"/>
              <w:t>(2) Zur Bildung der Gesamtnote der Promotionsprüfung wird die Summe des mit dem Faktor 0,7 gewichteten Notenwertes für die Dissertation und des mit dem Faktor 0,3 gewichteten Notenwertes für die Disputation berechnet und auf die erste Nachkommastelle abgerundet. Dieser Wert bestimmt die Gesamtnote der Promotionsprüfung wie folgt:</w:t>
            </w:r>
          </w:p>
          <w:p w:rsidR="00943F8B" w:rsidRPr="00095426" w:rsidRDefault="00943F8B" w:rsidP="00095426">
            <w:pPr>
              <w:tabs>
                <w:tab w:val="left" w:pos="-1440"/>
                <w:tab w:val="left" w:pos="-720"/>
              </w:tabs>
              <w:spacing w:after="0" w:line="240" w:lineRule="auto"/>
              <w:rPr>
                <w:rFonts w:ascii="Arial" w:hAnsi="Arial" w:cs="Arial"/>
                <w:sz w:val="12"/>
                <w:szCs w:val="12"/>
              </w:rPr>
            </w:pPr>
          </w:p>
          <w:tbl>
            <w:tblPr>
              <w:tblW w:w="0" w:type="auto"/>
              <w:tblInd w:w="180" w:type="dxa"/>
              <w:tblLook w:val="0000" w:firstRow="0" w:lastRow="0" w:firstColumn="0" w:lastColumn="0" w:noHBand="0" w:noVBand="0"/>
            </w:tblPr>
            <w:tblGrid>
              <w:gridCol w:w="5379"/>
              <w:gridCol w:w="4000"/>
            </w:tblGrid>
            <w:tr w:rsidR="00943F8B" w:rsidRPr="00095426">
              <w:trPr>
                <w:trHeight w:val="159"/>
              </w:trPr>
              <w:tc>
                <w:tcPr>
                  <w:tcW w:w="5379" w:type="dxa"/>
                </w:tcPr>
                <w:p w:rsidR="00943F8B" w:rsidRPr="00095426" w:rsidRDefault="00943F8B" w:rsidP="0043053C">
                  <w:pPr>
                    <w:tabs>
                      <w:tab w:val="left" w:pos="-1440"/>
                      <w:tab w:val="left" w:pos="-720"/>
                    </w:tabs>
                    <w:rPr>
                      <w:rFonts w:ascii="Arial" w:hAnsi="Arial" w:cs="Arial"/>
                    </w:rPr>
                  </w:pPr>
                  <w:r w:rsidRPr="00095426">
                    <w:rPr>
                      <w:rFonts w:ascii="Arial" w:hAnsi="Arial" w:cs="Arial"/>
                    </w:rPr>
                    <w:t xml:space="preserve">ausgezeichnet (summa cum laude) </w:t>
                  </w:r>
                </w:p>
              </w:tc>
              <w:tc>
                <w:tcPr>
                  <w:tcW w:w="4000" w:type="dxa"/>
                </w:tcPr>
                <w:p w:rsidR="00943F8B" w:rsidRPr="00095426" w:rsidRDefault="00943F8B" w:rsidP="0043053C">
                  <w:pPr>
                    <w:tabs>
                      <w:tab w:val="left" w:pos="-1440"/>
                      <w:tab w:val="left" w:pos="-720"/>
                    </w:tabs>
                    <w:rPr>
                      <w:rFonts w:ascii="Arial" w:hAnsi="Arial" w:cs="Arial"/>
                    </w:rPr>
                  </w:pPr>
                  <w:r w:rsidRPr="00095426">
                    <w:rPr>
                      <w:rFonts w:ascii="Arial" w:hAnsi="Arial" w:cs="Arial"/>
                    </w:rPr>
                    <w:t xml:space="preserve">bei einem Wert von 0,0 </w:t>
                  </w:r>
                </w:p>
              </w:tc>
            </w:tr>
            <w:tr w:rsidR="00943F8B" w:rsidRPr="00095426">
              <w:trPr>
                <w:trHeight w:val="159"/>
              </w:trPr>
              <w:tc>
                <w:tcPr>
                  <w:tcW w:w="5379" w:type="dxa"/>
                </w:tcPr>
                <w:p w:rsidR="00943F8B" w:rsidRPr="00095426" w:rsidRDefault="00943F8B" w:rsidP="0043053C">
                  <w:pPr>
                    <w:tabs>
                      <w:tab w:val="left" w:pos="-1440"/>
                      <w:tab w:val="left" w:pos="-720"/>
                    </w:tabs>
                    <w:rPr>
                      <w:rFonts w:ascii="Arial" w:hAnsi="Arial" w:cs="Arial"/>
                    </w:rPr>
                  </w:pPr>
                  <w:r w:rsidRPr="00095426">
                    <w:rPr>
                      <w:rFonts w:ascii="Arial" w:hAnsi="Arial" w:cs="Arial"/>
                    </w:rPr>
                    <w:t xml:space="preserve">sehr gut (magna cum laude) </w:t>
                  </w:r>
                </w:p>
              </w:tc>
              <w:tc>
                <w:tcPr>
                  <w:tcW w:w="4000" w:type="dxa"/>
                </w:tcPr>
                <w:p w:rsidR="00943F8B" w:rsidRPr="00095426" w:rsidRDefault="00943F8B" w:rsidP="0043053C">
                  <w:pPr>
                    <w:tabs>
                      <w:tab w:val="left" w:pos="-1440"/>
                      <w:tab w:val="left" w:pos="-720"/>
                    </w:tabs>
                    <w:rPr>
                      <w:rFonts w:ascii="Arial" w:hAnsi="Arial" w:cs="Arial"/>
                    </w:rPr>
                  </w:pPr>
                  <w:r w:rsidRPr="00095426">
                    <w:rPr>
                      <w:rFonts w:ascii="Arial" w:hAnsi="Arial" w:cs="Arial"/>
                    </w:rPr>
                    <w:t xml:space="preserve">bei einem Wert von 0,1 bis 1,5 </w:t>
                  </w:r>
                </w:p>
              </w:tc>
            </w:tr>
            <w:tr w:rsidR="00943F8B" w:rsidRPr="00095426">
              <w:trPr>
                <w:trHeight w:val="159"/>
              </w:trPr>
              <w:tc>
                <w:tcPr>
                  <w:tcW w:w="5379" w:type="dxa"/>
                </w:tcPr>
                <w:p w:rsidR="00943F8B" w:rsidRPr="00095426" w:rsidRDefault="00943F8B" w:rsidP="0043053C">
                  <w:pPr>
                    <w:tabs>
                      <w:tab w:val="left" w:pos="-1440"/>
                      <w:tab w:val="left" w:pos="-720"/>
                    </w:tabs>
                    <w:rPr>
                      <w:rFonts w:ascii="Arial" w:hAnsi="Arial" w:cs="Arial"/>
                    </w:rPr>
                  </w:pPr>
                  <w:r w:rsidRPr="00095426">
                    <w:rPr>
                      <w:rFonts w:ascii="Arial" w:hAnsi="Arial" w:cs="Arial"/>
                    </w:rPr>
                    <w:t xml:space="preserve">gut (cum laude) </w:t>
                  </w:r>
                </w:p>
              </w:tc>
              <w:tc>
                <w:tcPr>
                  <w:tcW w:w="4000" w:type="dxa"/>
                </w:tcPr>
                <w:p w:rsidR="00943F8B" w:rsidRPr="00095426" w:rsidRDefault="00943F8B" w:rsidP="0043053C">
                  <w:pPr>
                    <w:tabs>
                      <w:tab w:val="left" w:pos="-1440"/>
                      <w:tab w:val="left" w:pos="-720"/>
                    </w:tabs>
                    <w:rPr>
                      <w:rFonts w:ascii="Arial" w:hAnsi="Arial" w:cs="Arial"/>
                    </w:rPr>
                  </w:pPr>
                  <w:r w:rsidRPr="00095426">
                    <w:rPr>
                      <w:rFonts w:ascii="Arial" w:hAnsi="Arial" w:cs="Arial"/>
                    </w:rPr>
                    <w:t xml:space="preserve">bei einem Wert von 1,6 bis 2,5 </w:t>
                  </w:r>
                </w:p>
              </w:tc>
            </w:tr>
            <w:tr w:rsidR="00943F8B" w:rsidRPr="00095426">
              <w:trPr>
                <w:trHeight w:val="159"/>
              </w:trPr>
              <w:tc>
                <w:tcPr>
                  <w:tcW w:w="5379" w:type="dxa"/>
                </w:tcPr>
                <w:p w:rsidR="00943F8B" w:rsidRPr="00095426" w:rsidRDefault="00943F8B" w:rsidP="0043053C">
                  <w:pPr>
                    <w:tabs>
                      <w:tab w:val="left" w:pos="-1440"/>
                      <w:tab w:val="left" w:pos="-720"/>
                    </w:tabs>
                    <w:rPr>
                      <w:rFonts w:ascii="Arial" w:hAnsi="Arial" w:cs="Arial"/>
                    </w:rPr>
                  </w:pPr>
                  <w:r w:rsidRPr="00095426">
                    <w:rPr>
                      <w:rFonts w:ascii="Arial" w:hAnsi="Arial" w:cs="Arial"/>
                    </w:rPr>
                    <w:t xml:space="preserve">befriedigend (rite) </w:t>
                  </w:r>
                </w:p>
              </w:tc>
              <w:tc>
                <w:tcPr>
                  <w:tcW w:w="4000" w:type="dxa"/>
                </w:tcPr>
                <w:p w:rsidR="00943F8B" w:rsidRPr="00095426" w:rsidRDefault="00943F8B" w:rsidP="0043053C">
                  <w:pPr>
                    <w:tabs>
                      <w:tab w:val="left" w:pos="-1440"/>
                      <w:tab w:val="left" w:pos="-720"/>
                    </w:tabs>
                    <w:rPr>
                      <w:rFonts w:ascii="Arial" w:hAnsi="Arial" w:cs="Arial"/>
                    </w:rPr>
                  </w:pPr>
                  <w:r w:rsidRPr="00095426">
                    <w:rPr>
                      <w:rFonts w:ascii="Arial" w:hAnsi="Arial" w:cs="Arial"/>
                    </w:rPr>
                    <w:t xml:space="preserve">bei einem Wert von 2,6 bis 3,0 </w:t>
                  </w:r>
                </w:p>
              </w:tc>
            </w:tr>
          </w:tbl>
          <w:p w:rsidR="00943F8B" w:rsidRDefault="00943F8B" w:rsidP="00095426">
            <w:pPr>
              <w:tabs>
                <w:tab w:val="left" w:pos="-1440"/>
                <w:tab w:val="left" w:pos="-720"/>
              </w:tabs>
              <w:spacing w:after="0" w:line="240" w:lineRule="auto"/>
              <w:rPr>
                <w:rFonts w:ascii="Arial" w:hAnsi="Arial" w:cs="Arial"/>
                <w:b/>
                <w:bCs/>
              </w:rPr>
            </w:pPr>
          </w:p>
          <w:p w:rsidR="00D57B0C" w:rsidRPr="00095426" w:rsidRDefault="00D57B0C" w:rsidP="00095426">
            <w:pPr>
              <w:tabs>
                <w:tab w:val="left" w:pos="-1440"/>
                <w:tab w:val="left" w:pos="-720"/>
              </w:tabs>
              <w:spacing w:after="0" w:line="240" w:lineRule="auto"/>
              <w:rPr>
                <w:rFonts w:ascii="Arial" w:hAnsi="Arial" w:cs="Arial"/>
                <w:b/>
                <w:bCs/>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 21</w:t>
            </w: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b/>
                <w:bCs/>
              </w:rPr>
              <w:t>Bekanntgabe des Prüfungsergebnisses</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lastRenderedPageBreak/>
              <w:t>Der Kandidatin oder dem Kandidaten werden unmittelbar im Anschluss an die Beschlussfassung das Gesamturteil, die Bewertung der Dissertation und das Ergebnis der Disputation in Form einer Bescheinigung bekannt gegeben.</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 22</w:t>
            </w: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b/>
                <w:bCs/>
              </w:rPr>
              <w:t>Veröffentlichung</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(1) Ist die Prüfung bestanden und erteilt die Erstberichterstatterin oder der Erstberichterstatter den Druckreifevermerk, so hat die Bewerberin oder der Bewerber die Dissertation zu veröffentlichen. Über die Art der Veröffentlichung entscheidet die Kandidatin oder der Kandidat im Einvernehmen mit der ersten Berichterstatterin oder dem ersten Berichterstatter. Die Erlaubnis zur Veröffentlichung erteilt die Dekanin oder der Dekan. Sie oder er kann Auflagen hinsichtlich der äußeren Form der Veröffentlichung machen.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(2) Wurde der Druckreifevermerk nicht erteilt, ist die Dissertation zu verbessern. Für diese Änderung ist von den Berichterstatterinnen oder Berichterstattern eine Frist festzulegen.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(3) Für die Veröffentlichung der Dissertation sind neben dem für die Prüfungsakte erforderlichen Exemplar unentgeltlich abzuliefern, entweder</w:t>
            </w:r>
          </w:p>
          <w:p w:rsidR="00943F8B" w:rsidRPr="00095426" w:rsidRDefault="00943F8B" w:rsidP="00095426">
            <w:pPr>
              <w:tabs>
                <w:tab w:val="left" w:pos="-1440"/>
                <w:tab w:val="left" w:pos="-720"/>
              </w:tabs>
              <w:spacing w:after="0" w:line="240" w:lineRule="auto"/>
              <w:rPr>
                <w:rFonts w:ascii="Arial" w:hAnsi="Arial" w:cs="Arial"/>
                <w:sz w:val="2"/>
                <w:szCs w:val="2"/>
              </w:rPr>
            </w:pPr>
          </w:p>
          <w:p w:rsidR="00943F8B" w:rsidRPr="00095426" w:rsidRDefault="00943F8B" w:rsidP="00095426">
            <w:pPr>
              <w:numPr>
                <w:ilvl w:val="0"/>
                <w:numId w:val="2"/>
              </w:numPr>
              <w:tabs>
                <w:tab w:val="left" w:pos="-1440"/>
                <w:tab w:val="left" w:pos="-720"/>
              </w:tabs>
              <w:spacing w:after="0" w:line="240" w:lineRule="auto"/>
              <w:rPr>
                <w:rFonts w:ascii="Arial" w:hAnsi="Arial" w:cs="Arial"/>
              </w:rPr>
            </w:pPr>
            <w:r w:rsidRPr="00095426">
              <w:rPr>
                <w:rFonts w:ascii="Arial" w:hAnsi="Arial" w:cs="Arial"/>
              </w:rPr>
              <w:t>50 Exemplare in Buch- oder Fotodruck zum Zweck der Verbreitung, oder</w:t>
            </w:r>
          </w:p>
          <w:p w:rsidR="00943F8B" w:rsidRPr="00095426" w:rsidRDefault="00943F8B" w:rsidP="00095426">
            <w:pPr>
              <w:tabs>
                <w:tab w:val="left" w:pos="-1440"/>
                <w:tab w:val="left" w:pos="-720"/>
              </w:tabs>
              <w:spacing w:after="0" w:line="240" w:lineRule="auto"/>
              <w:rPr>
                <w:rFonts w:ascii="Arial" w:hAnsi="Arial" w:cs="Arial"/>
                <w:sz w:val="2"/>
                <w:szCs w:val="2"/>
              </w:rPr>
            </w:pPr>
          </w:p>
          <w:p w:rsidR="00943F8B" w:rsidRPr="00095426" w:rsidRDefault="00943F8B" w:rsidP="00095426">
            <w:pPr>
              <w:numPr>
                <w:ilvl w:val="0"/>
                <w:numId w:val="2"/>
              </w:numPr>
              <w:tabs>
                <w:tab w:val="left" w:pos="-1440"/>
                <w:tab w:val="left" w:pos="-720"/>
              </w:tabs>
              <w:spacing w:after="0" w:line="240" w:lineRule="auto"/>
              <w:rPr>
                <w:rFonts w:ascii="Arial" w:hAnsi="Arial" w:cs="Arial"/>
              </w:rPr>
            </w:pPr>
            <w:r w:rsidRPr="00095426">
              <w:rPr>
                <w:rFonts w:ascii="Arial" w:hAnsi="Arial" w:cs="Arial"/>
              </w:rPr>
              <w:t>4 Exemplare, wenn die Veröffentlichung in einer wissenschaftlichen Zeitschrift erfolgt, oder</w:t>
            </w:r>
          </w:p>
          <w:p w:rsidR="00943F8B" w:rsidRPr="00095426" w:rsidRDefault="00943F8B" w:rsidP="00095426">
            <w:pPr>
              <w:tabs>
                <w:tab w:val="left" w:pos="-1440"/>
                <w:tab w:val="left" w:pos="-720"/>
              </w:tabs>
              <w:spacing w:after="0" w:line="240" w:lineRule="auto"/>
              <w:rPr>
                <w:rFonts w:ascii="Arial" w:hAnsi="Arial" w:cs="Arial"/>
                <w:sz w:val="2"/>
                <w:szCs w:val="2"/>
              </w:rPr>
            </w:pPr>
          </w:p>
          <w:p w:rsidR="00943F8B" w:rsidRPr="00095426" w:rsidRDefault="00943F8B" w:rsidP="00095426">
            <w:pPr>
              <w:numPr>
                <w:ilvl w:val="0"/>
                <w:numId w:val="2"/>
              </w:numPr>
              <w:tabs>
                <w:tab w:val="left" w:pos="-1440"/>
                <w:tab w:val="left" w:pos="-720"/>
              </w:tabs>
              <w:spacing w:after="0" w:line="240" w:lineRule="auto"/>
              <w:rPr>
                <w:rFonts w:ascii="Arial" w:hAnsi="Arial" w:cs="Arial"/>
              </w:rPr>
            </w:pPr>
            <w:r w:rsidRPr="00095426">
              <w:rPr>
                <w:rFonts w:ascii="Arial" w:hAnsi="Arial" w:cs="Arial"/>
              </w:rPr>
              <w:t>4 Exemplare, wenn eine gewerbliche Verlegerin oder ein gewerblicher Verleger die Verbreitung über den Buchhandel übernimmt und eine Mindestauflage von 150 Exemplaren nachgewiesen wird, oder</w:t>
            </w:r>
          </w:p>
          <w:p w:rsidR="00943F8B" w:rsidRPr="00095426" w:rsidRDefault="00943F8B" w:rsidP="00095426">
            <w:pPr>
              <w:tabs>
                <w:tab w:val="left" w:pos="-1440"/>
                <w:tab w:val="left" w:pos="-720"/>
              </w:tabs>
              <w:spacing w:after="0" w:line="240" w:lineRule="auto"/>
              <w:rPr>
                <w:rFonts w:ascii="Arial" w:hAnsi="Arial" w:cs="Arial"/>
                <w:sz w:val="2"/>
                <w:szCs w:val="2"/>
              </w:rPr>
            </w:pPr>
          </w:p>
          <w:p w:rsidR="00943F8B" w:rsidRPr="00095426" w:rsidRDefault="00943F8B" w:rsidP="00095426">
            <w:pPr>
              <w:numPr>
                <w:ilvl w:val="0"/>
                <w:numId w:val="2"/>
              </w:numPr>
              <w:tabs>
                <w:tab w:val="left" w:pos="-1440"/>
                <w:tab w:val="left" w:pos="-720"/>
              </w:tabs>
              <w:spacing w:after="0" w:line="240" w:lineRule="auto"/>
              <w:rPr>
                <w:rFonts w:ascii="Arial" w:hAnsi="Arial" w:cs="Arial"/>
              </w:rPr>
            </w:pPr>
            <w:r w:rsidRPr="00095426">
              <w:rPr>
                <w:rFonts w:ascii="Arial" w:hAnsi="Arial" w:cs="Arial"/>
              </w:rPr>
              <w:t>5 Exemplare, wenn gleichzeitig eine Veröffentlichung in allgemein zugänglichen elektronischen Medien über die Universitätsbibliothek erfolgt (in diesem Fall müssen die an die Universitätsbibliothek zu übergebenden Dateien nach deren Vorgaben gestaltet sein).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Die Ablieferung hat innerhalb einer Frist von einem Jahr nach Erteilung der Erlaubnis zur Veröffentlichung zu erfolgen. Wird diese Frist nicht eingehalten, so erlöschen alle durch das Promotionsverfahren bisher erworbenen Rechte. Die Dekanin oder der Dekan kann in besonderen Fällen, auch nachträglich, die Frist verlängern. Hierzu ist ein begründeter Antrag der Bewerberin oder des Bewerbers erforderlich.</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 23</w:t>
            </w: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Vollzug der Promotion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(1) Nach Erfüllung aller Verpflichtungen aus dem Promotionsprüfungsverfahren wird die Promotion unter Aushändigung einer Urkunde vollzogen. Mit Vollzug der Promotion erwirbt die Bewerberin oder der Bewerber das Recht zur Führung des Doktorgrades.</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(2) Die Dekanin oder der Dekan kann der Bewerberin oder dem Bewerber die Führung des Doktorgrades vor Erfüllung der Verpflichtungen aus § 22 Abs. 3 gestatten, wenn sie oder er einen Verlagsvertrag vorlegt, nach dem die Veröffentlichung der Dissertation in angemessener Zeit gesichert ist.</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(3) In der Urkunde sind die Erstberichterstatterin oder der Erstberichterstatter zu nennen, die Gesamtnote aufzuführen und das Fachgebiet, in dem die Bewerberin oder der Bewerber promoviert hat. Die Bewerberin oder der Bewerber erhält auf Antrag eine Bescheinigung der Dekanin oder des Dekans über die Bewertung der Dissertation. Auf Antrag wird eine englische Übersetzung der Urkunde ausgehändigt.</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(4) Eine Ausfertigung der Urkunde ist zu den Fakultätsakten zu nehmen.</w:t>
            </w:r>
          </w:p>
          <w:p w:rsidR="00943F8B" w:rsidRPr="00B25F67"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943F8B">
              <w:rPr>
                <w:rFonts w:ascii="Arial" w:hAnsi="Arial" w:cs="Arial"/>
              </w:rPr>
              <w:t xml:space="preserve">(5) Absolventen mit fast </w:t>
            </w:r>
            <w:proofErr w:type="spellStart"/>
            <w:r w:rsidRPr="00943F8B">
              <w:rPr>
                <w:rFonts w:ascii="Arial" w:hAnsi="Arial" w:cs="Arial"/>
              </w:rPr>
              <w:t>track</w:t>
            </w:r>
            <w:proofErr w:type="spellEnd"/>
            <w:r w:rsidRPr="00943F8B">
              <w:rPr>
                <w:rFonts w:ascii="Arial" w:hAnsi="Arial" w:cs="Arial"/>
              </w:rPr>
              <w:t xml:space="preserve"> Promotion wird mit erfolgreichem Abschluss der Promotion zusätzlich der Mastergrad verliehen.</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 24</w:t>
            </w: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b/>
                <w:bCs/>
              </w:rPr>
              <w:t>Versagung und Entziehung des Doktorgrades</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943F8B" w:rsidRDefault="00943F8B" w:rsidP="00943F8B">
            <w:pPr>
              <w:tabs>
                <w:tab w:val="left" w:pos="-1440"/>
                <w:tab w:val="left" w:pos="-720"/>
              </w:tabs>
              <w:spacing w:after="0" w:line="240" w:lineRule="auto"/>
              <w:rPr>
                <w:rFonts w:ascii="Arial" w:hAnsi="Arial" w:cs="Arial"/>
              </w:rPr>
            </w:pPr>
            <w:r w:rsidRPr="00943F8B">
              <w:rPr>
                <w:rFonts w:ascii="Arial" w:hAnsi="Arial" w:cs="Arial"/>
              </w:rPr>
              <w:t>(1)</w:t>
            </w:r>
            <w:r w:rsidRPr="00943F8B">
              <w:rPr>
                <w:rFonts w:ascii="Arial" w:hAnsi="Arial" w:cs="Arial"/>
              </w:rPr>
              <w:tab/>
              <w:t>Der Fakultätskonvent hat in schweren Fällen die Promotionsleistung für ungültig zu erklären, wenn sich vor Aushändigung der Urkunde herausstellt, dass die Doktorandin oder der Doktorand sich grober Verstöße gegen die Regeln guter wissenschaftlicher Praxis schuldig gemacht hat. Bei leichten Verstößen entscheidet er nach Beratung im eigenen Ermessen über die Maßnahmen zur Ahndung des Verhaltens.</w:t>
            </w:r>
          </w:p>
          <w:p w:rsidR="00B25F67" w:rsidRPr="00B25F67" w:rsidRDefault="00B25F67" w:rsidP="00943F8B">
            <w:pPr>
              <w:tabs>
                <w:tab w:val="left" w:pos="-1440"/>
                <w:tab w:val="left" w:pos="-720"/>
              </w:tabs>
              <w:spacing w:after="0" w:line="240" w:lineRule="auto"/>
              <w:rPr>
                <w:rFonts w:ascii="Arial" w:hAnsi="Arial" w:cs="Arial"/>
                <w:sz w:val="12"/>
                <w:szCs w:val="12"/>
              </w:rPr>
            </w:pPr>
          </w:p>
          <w:p w:rsidR="00943F8B" w:rsidRPr="00943F8B" w:rsidRDefault="00943F8B" w:rsidP="00943F8B">
            <w:pPr>
              <w:tabs>
                <w:tab w:val="left" w:pos="-1440"/>
                <w:tab w:val="left" w:pos="-720"/>
              </w:tabs>
              <w:spacing w:after="0" w:line="240" w:lineRule="auto"/>
              <w:rPr>
                <w:rFonts w:ascii="Arial" w:hAnsi="Arial" w:cs="Arial"/>
              </w:rPr>
            </w:pPr>
            <w:r w:rsidRPr="00943F8B">
              <w:rPr>
                <w:rFonts w:ascii="Arial" w:hAnsi="Arial" w:cs="Arial"/>
              </w:rPr>
              <w:t>(2)</w:t>
            </w:r>
            <w:r w:rsidRPr="00943F8B">
              <w:rPr>
                <w:rFonts w:ascii="Arial" w:hAnsi="Arial" w:cs="Arial"/>
              </w:rPr>
              <w:tab/>
              <w:t>Die Fakultät hat in schweren Fällen die Verleihung des Doktorgrades zu widerrufen, wenn sich nach Aushändigung der Urkunde herausstellt,  dass der Grad durch grobe Verstöße gegen die Regeln zur guten wissenschaftlichen Praxis erworben worden ist.</w:t>
            </w:r>
          </w:p>
          <w:p w:rsidR="00B25F67" w:rsidRPr="00B25F67" w:rsidRDefault="00B25F67" w:rsidP="00943F8B">
            <w:pPr>
              <w:tabs>
                <w:tab w:val="left" w:pos="-1440"/>
                <w:tab w:val="left" w:pos="-720"/>
              </w:tabs>
              <w:spacing w:after="0" w:line="240" w:lineRule="auto"/>
              <w:rPr>
                <w:rFonts w:ascii="Arial" w:hAnsi="Arial" w:cs="Arial"/>
                <w:sz w:val="12"/>
                <w:szCs w:val="12"/>
              </w:rPr>
            </w:pPr>
          </w:p>
          <w:p w:rsidR="00943F8B" w:rsidRPr="00943F8B" w:rsidRDefault="00943F8B" w:rsidP="00943F8B">
            <w:pPr>
              <w:tabs>
                <w:tab w:val="left" w:pos="-1440"/>
                <w:tab w:val="left" w:pos="-720"/>
              </w:tabs>
              <w:spacing w:after="0" w:line="240" w:lineRule="auto"/>
              <w:rPr>
                <w:rFonts w:ascii="Arial" w:hAnsi="Arial" w:cs="Arial"/>
              </w:rPr>
            </w:pPr>
            <w:r w:rsidRPr="00943F8B">
              <w:rPr>
                <w:rFonts w:ascii="Arial" w:hAnsi="Arial" w:cs="Arial"/>
              </w:rPr>
              <w:lastRenderedPageBreak/>
              <w:t>(3)</w:t>
            </w:r>
            <w:r w:rsidRPr="00943F8B">
              <w:rPr>
                <w:rFonts w:ascii="Arial" w:hAnsi="Arial" w:cs="Arial"/>
              </w:rPr>
              <w:tab/>
              <w:t>Die Fakultät kann in schweren Fällen die Verleihung des Doktorgrades widerrufen, wenn die Doktorandin oder der Doktorand in ihrer wissenschaftlichen Arbeit nach der Promotion grobe Verstöße gegen die Regeln zur guten wissenschaftlichen Praxis begeht.</w:t>
            </w:r>
          </w:p>
          <w:p w:rsidR="00B25F67" w:rsidRPr="00B25F67" w:rsidRDefault="00B25F67" w:rsidP="00943F8B">
            <w:pPr>
              <w:tabs>
                <w:tab w:val="left" w:pos="-1440"/>
                <w:tab w:val="left" w:pos="-720"/>
              </w:tabs>
              <w:spacing w:after="0" w:line="240" w:lineRule="auto"/>
              <w:rPr>
                <w:rFonts w:ascii="Arial" w:hAnsi="Arial" w:cs="Arial"/>
                <w:sz w:val="12"/>
                <w:szCs w:val="12"/>
              </w:rPr>
            </w:pPr>
          </w:p>
          <w:p w:rsidR="00943F8B" w:rsidRPr="00095426" w:rsidRDefault="00943F8B" w:rsidP="00943F8B">
            <w:pPr>
              <w:tabs>
                <w:tab w:val="left" w:pos="-1440"/>
                <w:tab w:val="left" w:pos="-720"/>
              </w:tabs>
              <w:spacing w:after="0" w:line="240" w:lineRule="auto"/>
              <w:rPr>
                <w:rFonts w:ascii="Arial" w:hAnsi="Arial" w:cs="Arial"/>
                <w:strike/>
              </w:rPr>
            </w:pPr>
            <w:r w:rsidRPr="00943F8B">
              <w:rPr>
                <w:rFonts w:ascii="Arial" w:hAnsi="Arial" w:cs="Arial"/>
              </w:rPr>
              <w:t>(4)</w:t>
            </w:r>
            <w:r w:rsidRPr="00943F8B">
              <w:rPr>
                <w:rFonts w:ascii="Arial" w:hAnsi="Arial" w:cs="Arial"/>
              </w:rPr>
              <w:tab/>
              <w:t>Vor der Entscheidung nach Absätzen 1-3 ist die Doktorandin oder der Doktorand zu hören. Zur Vorbereitung der Entscheidung nach Absätzen 2-3 werden in der Regel externe Gutachten angefordert.</w:t>
            </w:r>
          </w:p>
          <w:p w:rsidR="00943F8B" w:rsidRPr="00B25F67" w:rsidRDefault="00943F8B" w:rsidP="00095426">
            <w:pPr>
              <w:tabs>
                <w:tab w:val="left" w:pos="-1440"/>
                <w:tab w:val="left" w:pos="-720"/>
              </w:tabs>
              <w:spacing w:after="0" w:line="240" w:lineRule="auto"/>
              <w:rPr>
                <w:rFonts w:ascii="Arial" w:hAnsi="Arial" w:cs="Arial"/>
                <w:strike/>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943F8B">
              <w:rPr>
                <w:rFonts w:ascii="Arial" w:hAnsi="Arial" w:cs="Arial"/>
              </w:rPr>
              <w:t>(5)</w:t>
            </w:r>
            <w:r w:rsidRPr="00095426">
              <w:rPr>
                <w:rFonts w:ascii="Arial" w:hAnsi="Arial" w:cs="Arial"/>
              </w:rPr>
              <w:t xml:space="preserve"> Steht die Entziehung rechtskräftig fest, so sind alle Urkunden über den Erwerb des Doktorgrades zurückzugeben.</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 25</w:t>
            </w: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b/>
                <w:bCs/>
              </w:rPr>
              <w:t>Ehrenpromotion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 xml:space="preserve">(1) Die Fakultät kann gemäß der Universitätsverfassung Grad und Würde einer Doktorin oder eines Doktors der Agrarwissenschaften ehrenhalber (Dr. sc. </w:t>
            </w:r>
            <w:proofErr w:type="spellStart"/>
            <w:r w:rsidRPr="00095426">
              <w:rPr>
                <w:rFonts w:ascii="Arial" w:hAnsi="Arial" w:cs="Arial"/>
              </w:rPr>
              <w:t>agr</w:t>
            </w:r>
            <w:proofErr w:type="spellEnd"/>
            <w:r w:rsidRPr="00095426">
              <w:rPr>
                <w:rFonts w:ascii="Arial" w:hAnsi="Arial" w:cs="Arial"/>
              </w:rPr>
              <w:t xml:space="preserve">. h.c.) oder der Ökotrophologie ehrenhalber (Dr. </w:t>
            </w:r>
            <w:proofErr w:type="spellStart"/>
            <w:r w:rsidRPr="00095426">
              <w:rPr>
                <w:rFonts w:ascii="Arial" w:hAnsi="Arial" w:cs="Arial"/>
              </w:rPr>
              <w:t>oec</w:t>
            </w:r>
            <w:proofErr w:type="spellEnd"/>
            <w:r w:rsidRPr="00095426">
              <w:rPr>
                <w:rFonts w:ascii="Arial" w:hAnsi="Arial" w:cs="Arial"/>
              </w:rPr>
              <w:t xml:space="preserve">. </w:t>
            </w:r>
            <w:proofErr w:type="spellStart"/>
            <w:r w:rsidRPr="00095426">
              <w:rPr>
                <w:rFonts w:ascii="Arial" w:hAnsi="Arial" w:cs="Arial"/>
              </w:rPr>
              <w:t>troph</w:t>
            </w:r>
            <w:proofErr w:type="spellEnd"/>
            <w:r w:rsidRPr="00095426">
              <w:rPr>
                <w:rFonts w:ascii="Arial" w:hAnsi="Arial" w:cs="Arial"/>
              </w:rPr>
              <w:t>. h.c.) verleihen.</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(2) Ein Antrag auf Verleihung der Ehrendoktorwürde ist schriftlich ausführlich begründet an die Dekanin oder den Dekan einzureichen. Der Beschluss bedarf der Zustimmung von mindestens 4/5 der Mitglieder des Fakultätskonvents.</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(3) Die Ehrenpromotion erfolgt durch Überreichung einer Urkunde, in der die Verdienste der oder des Promovierten hervorzuheben sind.</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(4) Für die Entziehung gilt § 24 entsprechend.</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 xml:space="preserve">§ 26 </w:t>
            </w: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Datenerhebung</w:t>
            </w:r>
          </w:p>
          <w:p w:rsidR="00943F8B" w:rsidRPr="00095426" w:rsidRDefault="00943F8B" w:rsidP="00095426">
            <w:pPr>
              <w:tabs>
                <w:tab w:val="left" w:pos="-1440"/>
                <w:tab w:val="left" w:pos="-720"/>
              </w:tabs>
              <w:spacing w:after="0" w:line="240" w:lineRule="auto"/>
              <w:rPr>
                <w:rFonts w:ascii="Arial" w:hAnsi="Arial" w:cs="Arial"/>
                <w:b/>
                <w:bCs/>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Die Fakultät erhebt nach Maßgabe des § 45 HSG von den Promotionsbewerberinnen und Promotionsbewerbern und Doktorandinnen und Doktoranden die personenbezogenen Daten, die nach dieser Promotionsordnung und nach dem Hochschulstatistikgesetz zur rechtmäßigen Erfüllung ihrer Aufgaben erforderlich sind.</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 27</w:t>
            </w:r>
          </w:p>
          <w:p w:rsidR="00943F8B" w:rsidRPr="00095426" w:rsidRDefault="00943F8B" w:rsidP="00095426">
            <w:pPr>
              <w:tabs>
                <w:tab w:val="left" w:pos="-1440"/>
                <w:tab w:val="left" w:pos="-720"/>
              </w:tabs>
              <w:spacing w:after="0" w:line="240" w:lineRule="auto"/>
              <w:rPr>
                <w:rFonts w:ascii="Arial" w:hAnsi="Arial" w:cs="Arial"/>
                <w:b/>
                <w:bCs/>
              </w:rPr>
            </w:pPr>
            <w:r w:rsidRPr="00095426">
              <w:rPr>
                <w:rFonts w:ascii="Arial" w:hAnsi="Arial" w:cs="Arial"/>
                <w:b/>
                <w:bCs/>
              </w:rPr>
              <w:t>Inkrafttreten, Außerkrafttreten, Übergangsbestimmung</w:t>
            </w:r>
          </w:p>
          <w:p w:rsidR="00943F8B" w:rsidRPr="00095426" w:rsidRDefault="00943F8B" w:rsidP="00095426">
            <w:pPr>
              <w:tabs>
                <w:tab w:val="left" w:pos="-1440"/>
                <w:tab w:val="left" w:pos="-720"/>
              </w:tabs>
              <w:spacing w:after="0" w:line="240" w:lineRule="auto"/>
              <w:rPr>
                <w:rFonts w:ascii="Arial" w:hAnsi="Arial" w:cs="Arial"/>
                <w:b/>
                <w:bCs/>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(1) Diese Satzung tritt mit dem Tag nach ihrer Bekanntmachung in Kraft.</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(2) Gleichzeitig tritt vorbehaltlich der Regelung in Absatz 3 die Promotionsordnung (Satzung) der Agrar- und Ernährungswissenschaftlichen Fakultät der Christian-Albrechts-Universität zu Kiel vom 12. Oktober 1999 (</w:t>
            </w:r>
            <w:proofErr w:type="spellStart"/>
            <w:r w:rsidRPr="00095426">
              <w:rPr>
                <w:rFonts w:ascii="Arial" w:hAnsi="Arial" w:cs="Arial"/>
              </w:rPr>
              <w:t>NBl</w:t>
            </w:r>
            <w:proofErr w:type="spellEnd"/>
            <w:r w:rsidRPr="00095426">
              <w:rPr>
                <w:rFonts w:ascii="Arial" w:hAnsi="Arial" w:cs="Arial"/>
              </w:rPr>
              <w:t xml:space="preserve">. MBWFK </w:t>
            </w:r>
            <w:proofErr w:type="spellStart"/>
            <w:r w:rsidRPr="00095426">
              <w:rPr>
                <w:rFonts w:ascii="Arial" w:hAnsi="Arial" w:cs="Arial"/>
              </w:rPr>
              <w:t>Schl</w:t>
            </w:r>
            <w:proofErr w:type="spellEnd"/>
            <w:r w:rsidRPr="00095426">
              <w:rPr>
                <w:rFonts w:ascii="Arial" w:hAnsi="Arial" w:cs="Arial"/>
              </w:rPr>
              <w:t xml:space="preserve">.-H. S. 565), zuletzt geändert durch Satzung vom </w:t>
            </w:r>
            <w:r w:rsidRPr="008163EB">
              <w:rPr>
                <w:rFonts w:ascii="Arial" w:hAnsi="Arial" w:cs="Arial"/>
              </w:rPr>
              <w:t>23. Juni 2010</w:t>
            </w:r>
            <w:r w:rsidRPr="00095426">
              <w:rPr>
                <w:rFonts w:ascii="Arial" w:hAnsi="Arial" w:cs="Arial"/>
              </w:rPr>
              <w:t xml:space="preserve"> (</w:t>
            </w:r>
            <w:proofErr w:type="spellStart"/>
            <w:r w:rsidRPr="00095426">
              <w:rPr>
                <w:rFonts w:ascii="Arial" w:hAnsi="Arial" w:cs="Arial"/>
              </w:rPr>
              <w:t>NBl</w:t>
            </w:r>
            <w:proofErr w:type="spellEnd"/>
            <w:r w:rsidRPr="00095426">
              <w:rPr>
                <w:rFonts w:ascii="Arial" w:hAnsi="Arial" w:cs="Arial"/>
              </w:rPr>
              <w:t xml:space="preserve">. MWV </w:t>
            </w:r>
            <w:proofErr w:type="spellStart"/>
            <w:r w:rsidRPr="00095426">
              <w:rPr>
                <w:rFonts w:ascii="Arial" w:hAnsi="Arial" w:cs="Arial"/>
              </w:rPr>
              <w:t>Schl</w:t>
            </w:r>
            <w:proofErr w:type="spellEnd"/>
            <w:r w:rsidRPr="00095426">
              <w:rPr>
                <w:rFonts w:ascii="Arial" w:hAnsi="Arial" w:cs="Arial"/>
              </w:rPr>
              <w:t>.-H. S. 55), außer Kraft.</w:t>
            </w:r>
          </w:p>
          <w:p w:rsidR="00943F8B" w:rsidRPr="00095426" w:rsidRDefault="00943F8B" w:rsidP="00095426">
            <w:pPr>
              <w:tabs>
                <w:tab w:val="left" w:pos="-1440"/>
                <w:tab w:val="left" w:pos="-720"/>
              </w:tabs>
              <w:spacing w:after="0" w:line="240" w:lineRule="auto"/>
              <w:rPr>
                <w:rFonts w:ascii="Arial" w:hAnsi="Arial" w:cs="Arial"/>
                <w:sz w:val="12"/>
                <w:szCs w:val="12"/>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(3) Doktorandinnen und Doktoranden, die zum Zeitpunkt des Inkrafttretens dieser Satzung an der Agrar- und Ernährungswissenschaftlichen Fakultät bereits als Doktorandin oder Doktorand angenommen worden sind, können die Promotionsprüfung auf Antrag nach der bisherigen Promotionsordnung ablegen.</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 xml:space="preserve">Die Genehmigung nach § 54 Abs. 3 HSG wurde durch das Präsidium der Christian-Albrechts-Universität zu Kiel mit Schreiben vom  </w:t>
            </w:r>
            <w:r w:rsidRPr="008163EB">
              <w:rPr>
                <w:rFonts w:ascii="Arial" w:hAnsi="Arial" w:cs="Arial"/>
              </w:rPr>
              <w:t>8. Dezember 2011</w:t>
            </w:r>
            <w:r w:rsidRPr="00095426">
              <w:rPr>
                <w:rFonts w:ascii="Arial" w:hAnsi="Arial" w:cs="Arial"/>
              </w:rPr>
              <w:t xml:space="preserve"> erteilt.</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rPr>
            </w:pPr>
            <w:r w:rsidRPr="00095426">
              <w:rPr>
                <w:rFonts w:ascii="Arial" w:hAnsi="Arial" w:cs="Arial"/>
              </w:rPr>
              <w:t xml:space="preserve">Kiel, den   </w:t>
            </w:r>
            <w:r w:rsidRPr="008163EB">
              <w:rPr>
                <w:rFonts w:ascii="Arial" w:hAnsi="Arial" w:cs="Arial"/>
              </w:rPr>
              <w:t>9. Dezember 2011</w:t>
            </w: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rPr>
            </w:pPr>
          </w:p>
          <w:p w:rsidR="00943F8B" w:rsidRPr="00095426" w:rsidRDefault="00943F8B" w:rsidP="00095426">
            <w:pPr>
              <w:tabs>
                <w:tab w:val="left" w:pos="-1440"/>
                <w:tab w:val="left" w:pos="-720"/>
              </w:tabs>
              <w:spacing w:after="0" w:line="240" w:lineRule="auto"/>
              <w:rPr>
                <w:rFonts w:ascii="Arial" w:hAnsi="Arial" w:cs="Arial"/>
              </w:rPr>
            </w:pPr>
          </w:p>
          <w:p w:rsidR="00943F8B" w:rsidRPr="008163EB" w:rsidRDefault="00943F8B" w:rsidP="00095426">
            <w:pPr>
              <w:tabs>
                <w:tab w:val="left" w:pos="-1440"/>
                <w:tab w:val="left" w:pos="-720"/>
              </w:tabs>
              <w:spacing w:after="0" w:line="240" w:lineRule="auto"/>
              <w:rPr>
                <w:rFonts w:ascii="Arial" w:hAnsi="Arial" w:cs="Arial"/>
              </w:rPr>
            </w:pPr>
            <w:r w:rsidRPr="008163EB">
              <w:rPr>
                <w:rFonts w:ascii="Arial" w:hAnsi="Arial" w:cs="Arial"/>
              </w:rPr>
              <w:t>Prof. Dr. Karin Schwarz</w:t>
            </w:r>
          </w:p>
          <w:p w:rsidR="00943F8B" w:rsidRPr="00095426" w:rsidRDefault="00943F8B" w:rsidP="00095426">
            <w:pPr>
              <w:tabs>
                <w:tab w:val="left" w:pos="-1440"/>
                <w:tab w:val="left" w:pos="-720"/>
              </w:tabs>
              <w:spacing w:after="0" w:line="240" w:lineRule="auto"/>
              <w:rPr>
                <w:rFonts w:ascii="Arial" w:hAnsi="Arial" w:cs="Arial"/>
              </w:rPr>
            </w:pPr>
            <w:r w:rsidRPr="008163EB">
              <w:rPr>
                <w:rFonts w:ascii="Arial" w:hAnsi="Arial" w:cs="Arial"/>
              </w:rPr>
              <w:t>Dekanin</w:t>
            </w:r>
            <w:r w:rsidRPr="00095426">
              <w:rPr>
                <w:rFonts w:ascii="Arial" w:hAnsi="Arial" w:cs="Arial"/>
              </w:rPr>
              <w:t xml:space="preserve"> der Agrar- und Ernährungswissenschaftlichen Fakultät </w:t>
            </w:r>
          </w:p>
          <w:p w:rsidR="00943F8B" w:rsidRPr="00B25F67" w:rsidRDefault="00943F8B" w:rsidP="00095426">
            <w:pPr>
              <w:tabs>
                <w:tab w:val="left" w:pos="-1440"/>
                <w:tab w:val="left" w:pos="-720"/>
              </w:tabs>
              <w:spacing w:after="0" w:line="240" w:lineRule="auto"/>
              <w:rPr>
                <w:rFonts w:ascii="Arial" w:hAnsi="Arial" w:cs="Arial"/>
                <w:b/>
                <w:bCs/>
                <w:sz w:val="32"/>
                <w:szCs w:val="32"/>
              </w:rPr>
            </w:pPr>
            <w:r w:rsidRPr="00095426">
              <w:rPr>
                <w:rFonts w:ascii="Arial" w:hAnsi="Arial" w:cs="Arial"/>
              </w:rPr>
              <w:t>der Christian-Albrechts-Universität zu Kiel</w:t>
            </w:r>
            <w:r w:rsidRPr="00095426">
              <w:rPr>
                <w:rFonts w:ascii="Arial" w:hAnsi="Arial" w:cs="Arial"/>
              </w:rPr>
              <w:br/>
            </w:r>
            <w:r w:rsidRPr="00095426">
              <w:rPr>
                <w:rFonts w:ascii="Arial" w:hAnsi="Arial" w:cs="Arial"/>
              </w:rPr>
              <w:br/>
            </w:r>
            <w:r w:rsidRPr="00095426">
              <w:rPr>
                <w:rFonts w:ascii="Arial" w:hAnsi="Arial" w:cs="Arial"/>
              </w:rPr>
              <w:br/>
            </w:r>
            <w:r w:rsidRPr="00095426">
              <w:rPr>
                <w:rFonts w:ascii="Arial" w:hAnsi="Arial" w:cs="Arial"/>
              </w:rPr>
              <w:br/>
            </w:r>
            <w:bookmarkStart w:id="0" w:name="_GoBack"/>
            <w:bookmarkEnd w:id="0"/>
            <w:r w:rsidRPr="00B25F67">
              <w:rPr>
                <w:rFonts w:ascii="Arial" w:hAnsi="Arial" w:cs="Arial"/>
                <w:b/>
                <w:bCs/>
                <w:sz w:val="32"/>
                <w:szCs w:val="32"/>
              </w:rPr>
              <w:t xml:space="preserve">Anlage 1 </w:t>
            </w:r>
          </w:p>
          <w:p w:rsidR="00943F8B" w:rsidRDefault="00943F8B" w:rsidP="00095426">
            <w:pPr>
              <w:tabs>
                <w:tab w:val="left" w:pos="-1440"/>
                <w:tab w:val="left" w:pos="-720"/>
              </w:tabs>
              <w:spacing w:after="0" w:line="240" w:lineRule="auto"/>
              <w:rPr>
                <w:rFonts w:ascii="Arial" w:hAnsi="Arial" w:cs="Arial"/>
                <w:b/>
                <w:bCs/>
                <w:strike/>
                <w:sz w:val="32"/>
                <w:szCs w:val="32"/>
                <w:highlight w:val="yellow"/>
              </w:rPr>
            </w:pPr>
          </w:p>
          <w:p w:rsidR="00943F8B" w:rsidRPr="00095426" w:rsidRDefault="00943F8B" w:rsidP="00095426">
            <w:pPr>
              <w:spacing w:after="0" w:line="240" w:lineRule="auto"/>
              <w:rPr>
                <w:rFonts w:ascii="Arial" w:hAnsi="Arial" w:cs="Arial"/>
                <w:b/>
                <w:bCs/>
                <w:sz w:val="28"/>
                <w:szCs w:val="28"/>
              </w:rPr>
            </w:pPr>
            <w:r w:rsidRPr="00095426">
              <w:rPr>
                <w:rFonts w:ascii="Arial" w:hAnsi="Arial" w:cs="Arial"/>
                <w:b/>
                <w:bCs/>
                <w:sz w:val="28"/>
                <w:szCs w:val="28"/>
              </w:rPr>
              <w:t>Fachgebiete Agrarwissenschaften</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Bodenkunde</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Ökologischer Landbau</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Pflanzenbau und Grünlandwirtschaft</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Pflanzenernährung</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Pflanzenzüchtung und -genetik</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Phytopathologie</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Nutztierphysiologie</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Tierernährung und Futtermittelkunde</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Tierhaltung</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Tierzucht und Haustiergenetik</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Aquakultur</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Agrartechnik</w:t>
            </w:r>
          </w:p>
          <w:p w:rsidR="00943F8B" w:rsidRPr="00095426" w:rsidRDefault="00943F8B" w:rsidP="00095426">
            <w:pPr>
              <w:spacing w:after="0" w:line="240" w:lineRule="auto"/>
              <w:ind w:left="708"/>
              <w:rPr>
                <w:rFonts w:ascii="Arial" w:hAnsi="Arial" w:cs="Arial"/>
              </w:rPr>
            </w:pP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Agrarökonomie</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Agribusiness</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Politische Ökonomie</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Agrar- und Ernährungsmarketing</w:t>
            </w:r>
          </w:p>
          <w:p w:rsidR="00943F8B" w:rsidRPr="00095426" w:rsidRDefault="00943F8B" w:rsidP="00095426">
            <w:pPr>
              <w:spacing w:after="0" w:line="240" w:lineRule="auto"/>
              <w:ind w:left="708"/>
              <w:rPr>
                <w:rFonts w:ascii="Arial" w:hAnsi="Arial" w:cs="Arial"/>
                <w:sz w:val="28"/>
                <w:szCs w:val="28"/>
              </w:rPr>
            </w:pP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Ökologie</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Hydrologie und Wasserwirtschaft</w:t>
            </w:r>
          </w:p>
          <w:p w:rsidR="00943F8B" w:rsidRPr="00095426" w:rsidRDefault="00943F8B" w:rsidP="00095426">
            <w:pPr>
              <w:spacing w:after="0" w:line="240" w:lineRule="auto"/>
              <w:rPr>
                <w:rFonts w:ascii="Arial" w:hAnsi="Arial" w:cs="Arial"/>
                <w:sz w:val="28"/>
                <w:szCs w:val="28"/>
              </w:rPr>
            </w:pPr>
          </w:p>
          <w:p w:rsidR="00943F8B" w:rsidRPr="00095426" w:rsidRDefault="00943F8B" w:rsidP="00095426">
            <w:pPr>
              <w:spacing w:after="0" w:line="240" w:lineRule="auto"/>
              <w:rPr>
                <w:rFonts w:ascii="Arial" w:hAnsi="Arial" w:cs="Arial"/>
                <w:b/>
                <w:bCs/>
                <w:sz w:val="28"/>
                <w:szCs w:val="28"/>
              </w:rPr>
            </w:pPr>
            <w:r w:rsidRPr="00095426">
              <w:rPr>
                <w:rFonts w:ascii="Arial" w:hAnsi="Arial" w:cs="Arial"/>
                <w:b/>
                <w:bCs/>
                <w:sz w:val="28"/>
                <w:szCs w:val="28"/>
              </w:rPr>
              <w:t>Fachgebiete Ökotrophologie</w:t>
            </w:r>
          </w:p>
          <w:p w:rsidR="00943F8B" w:rsidRPr="00095426" w:rsidRDefault="00943F8B" w:rsidP="00095426">
            <w:pPr>
              <w:spacing w:after="0" w:line="240" w:lineRule="auto"/>
              <w:rPr>
                <w:rFonts w:ascii="Arial" w:hAnsi="Arial" w:cs="Arial"/>
                <w:sz w:val="28"/>
                <w:szCs w:val="28"/>
              </w:rPr>
            </w:pP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Ernährung des Menschen</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Ernährungsökonomie</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Agrar- und Ernährungsmarketing</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Ernährungs- und Stoffwechselphysiologie</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Haushalts- und Gesundheitsökonomie</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 xml:space="preserve">Lebensmittelwissenschaft </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Lebensmitteltechnologie</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Molekulare Ernährung und Prävention</w:t>
            </w:r>
          </w:p>
          <w:p w:rsidR="00943F8B" w:rsidRPr="00095426" w:rsidRDefault="00943F8B" w:rsidP="00095426">
            <w:pPr>
              <w:spacing w:after="0" w:line="240" w:lineRule="auto"/>
              <w:ind w:left="708"/>
              <w:rPr>
                <w:rFonts w:ascii="Arial" w:hAnsi="Arial" w:cs="Arial"/>
                <w:sz w:val="28"/>
                <w:szCs w:val="28"/>
              </w:rPr>
            </w:pPr>
            <w:r w:rsidRPr="00095426">
              <w:rPr>
                <w:rFonts w:ascii="Arial" w:hAnsi="Arial" w:cs="Arial"/>
                <w:sz w:val="28"/>
                <w:szCs w:val="28"/>
              </w:rPr>
              <w:t>Ernährungs- und Lebensmitteltoxikologie</w:t>
            </w:r>
          </w:p>
          <w:p w:rsidR="00943F8B" w:rsidRPr="00095426" w:rsidRDefault="00943F8B" w:rsidP="00095426">
            <w:pPr>
              <w:spacing w:after="0" w:line="240" w:lineRule="auto"/>
            </w:pPr>
          </w:p>
        </w:tc>
      </w:tr>
    </w:tbl>
    <w:p w:rsidR="00276AC9" w:rsidRDefault="00276AC9" w:rsidP="0043053C"/>
    <w:p w:rsidR="00B25F67" w:rsidRPr="00B25F67" w:rsidRDefault="00B25F67" w:rsidP="00B25F67">
      <w:pPr>
        <w:rPr>
          <w:b/>
          <w:sz w:val="32"/>
          <w:szCs w:val="32"/>
        </w:rPr>
      </w:pPr>
      <w:r w:rsidRPr="00B25F67">
        <w:rPr>
          <w:b/>
          <w:sz w:val="32"/>
          <w:szCs w:val="32"/>
        </w:rPr>
        <w:t xml:space="preserve">Anlage </w:t>
      </w:r>
      <w:r>
        <w:rPr>
          <w:b/>
          <w:sz w:val="32"/>
          <w:szCs w:val="32"/>
        </w:rPr>
        <w:t>2 - Betreuungsvereinbarung</w:t>
      </w:r>
    </w:p>
    <w:sectPr w:rsidR="00B25F67" w:rsidRPr="00B25F67" w:rsidSect="00943F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66ED8"/>
    <w:multiLevelType w:val="singleLevel"/>
    <w:tmpl w:val="5C4C66D6"/>
    <w:lvl w:ilvl="0">
      <w:start w:val="1"/>
      <w:numFmt w:val="decimal"/>
      <w:lvlText w:val="%1."/>
      <w:lvlJc w:val="left"/>
      <w:pPr>
        <w:tabs>
          <w:tab w:val="num" w:pos="360"/>
        </w:tabs>
        <w:ind w:left="360" w:hanging="360"/>
      </w:pPr>
      <w:rPr>
        <w:rFonts w:hint="default"/>
      </w:rPr>
    </w:lvl>
  </w:abstractNum>
  <w:abstractNum w:abstractNumId="1">
    <w:nsid w:val="3A837D9A"/>
    <w:multiLevelType w:val="hybridMultilevel"/>
    <w:tmpl w:val="C2048BF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99F511F"/>
    <w:multiLevelType w:val="hybridMultilevel"/>
    <w:tmpl w:val="35B6DDF6"/>
    <w:lvl w:ilvl="0" w:tplc="CED0A2EE">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55B33"/>
    <w:multiLevelType w:val="hybridMultilevel"/>
    <w:tmpl w:val="407C6586"/>
    <w:lvl w:ilvl="0" w:tplc="1D20AD6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AC"/>
    <w:rsid w:val="00095426"/>
    <w:rsid w:val="000D5602"/>
    <w:rsid w:val="00152C1A"/>
    <w:rsid w:val="00234291"/>
    <w:rsid w:val="0025583D"/>
    <w:rsid w:val="00276AC9"/>
    <w:rsid w:val="003039CB"/>
    <w:rsid w:val="003D2393"/>
    <w:rsid w:val="003F0910"/>
    <w:rsid w:val="00430322"/>
    <w:rsid w:val="0043053C"/>
    <w:rsid w:val="004403CE"/>
    <w:rsid w:val="004B20A7"/>
    <w:rsid w:val="004D618A"/>
    <w:rsid w:val="00564BA1"/>
    <w:rsid w:val="005C6B8E"/>
    <w:rsid w:val="00651482"/>
    <w:rsid w:val="00697E19"/>
    <w:rsid w:val="006C04AC"/>
    <w:rsid w:val="00764C8A"/>
    <w:rsid w:val="007A19E1"/>
    <w:rsid w:val="007A564F"/>
    <w:rsid w:val="0081626E"/>
    <w:rsid w:val="008163EB"/>
    <w:rsid w:val="008667DD"/>
    <w:rsid w:val="00943F8B"/>
    <w:rsid w:val="009D36F1"/>
    <w:rsid w:val="00A05915"/>
    <w:rsid w:val="00AC0483"/>
    <w:rsid w:val="00B25F67"/>
    <w:rsid w:val="00D57B0C"/>
    <w:rsid w:val="00D75E6C"/>
    <w:rsid w:val="00DF1F82"/>
    <w:rsid w:val="00DF763C"/>
    <w:rsid w:val="00E00D64"/>
    <w:rsid w:val="00E4131F"/>
    <w:rsid w:val="00FA17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656128-4D68-47DB-B4A7-675AC895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4BA1"/>
    <w:pPr>
      <w:spacing w:after="200" w:line="276" w:lineRule="auto"/>
    </w:pPr>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6C04A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4D618A"/>
    <w:pPr>
      <w:spacing w:before="240" w:after="0" w:line="240" w:lineRule="auto"/>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3841</Words>
  <Characters>25158</Characters>
  <Application>Microsoft Office Word</Application>
  <DocSecurity>0</DocSecurity>
  <Lines>1797</Lines>
  <Paragraphs>763</Paragraphs>
  <ScaleCrop>false</ScaleCrop>
  <HeadingPairs>
    <vt:vector size="2" baseType="variant">
      <vt:variant>
        <vt:lpstr>Titel</vt:lpstr>
      </vt:variant>
      <vt:variant>
        <vt:i4>1</vt:i4>
      </vt:variant>
    </vt:vector>
  </HeadingPairs>
  <TitlesOfParts>
    <vt:vector size="1" baseType="lpstr">
      <vt:lpstr>Promotionsordnung (Satzung)</vt:lpstr>
    </vt:vector>
  </TitlesOfParts>
  <Company/>
  <LinksUpToDate>false</LinksUpToDate>
  <CharactersWithSpaces>28236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Promotionsordnung (Satzung)</dc:title>
  <dc:subject/>
  <dc:creator>suapp233</dc:creator>
  <cp:keywords/>
  <dc:description/>
  <cp:lastModifiedBy>Ute Koch</cp:lastModifiedBy>
  <cp:revision>2</cp:revision>
  <dcterms:created xsi:type="dcterms:W3CDTF">2014-09-25T11:09:00Z</dcterms:created>
  <dcterms:modified xsi:type="dcterms:W3CDTF">2014-09-25T11:09:00Z</dcterms:modified>
</cp:coreProperties>
</file>